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DAB" w:rsidRDefault="009E0DAB" w:rsidP="000A5D7A">
      <w:pPr>
        <w:tabs>
          <w:tab w:val="left" w:pos="3784"/>
          <w:tab w:val="center" w:pos="5102"/>
        </w:tabs>
        <w:spacing w:after="0" w:line="240" w:lineRule="auto"/>
        <w:jc w:val="center"/>
        <w:rPr>
          <w:rFonts w:ascii="Narkisim" w:hAnsi="Narkisim" w:cs="Narkisim" w:hint="cs"/>
          <w:b/>
          <w:bCs/>
          <w:rtl/>
        </w:rPr>
      </w:pPr>
    </w:p>
    <w:p w:rsidR="008A09C7" w:rsidRPr="008A1360" w:rsidRDefault="008A09C7" w:rsidP="000A5D7A">
      <w:pPr>
        <w:tabs>
          <w:tab w:val="left" w:pos="3784"/>
          <w:tab w:val="center" w:pos="5102"/>
        </w:tabs>
        <w:spacing w:after="0" w:line="240" w:lineRule="auto"/>
        <w:jc w:val="center"/>
        <w:rPr>
          <w:rFonts w:asciiTheme="minorBidi" w:hAnsiTheme="minorBidi"/>
          <w:b/>
          <w:bCs/>
          <w:rtl/>
        </w:rPr>
      </w:pPr>
      <w:r w:rsidRPr="008A1360">
        <w:rPr>
          <w:rFonts w:asciiTheme="minorBidi" w:hAnsiTheme="minorBidi"/>
          <w:b/>
          <w:bCs/>
          <w:rtl/>
        </w:rPr>
        <w:t>הרב ד"ר יואל בן-נון  שיעור 134</w:t>
      </w:r>
    </w:p>
    <w:p w:rsidR="008A09C7" w:rsidRPr="008A1360" w:rsidRDefault="008A09C7" w:rsidP="000A5D7A">
      <w:pPr>
        <w:tabs>
          <w:tab w:val="left" w:pos="3784"/>
          <w:tab w:val="center" w:pos="5102"/>
        </w:tabs>
        <w:spacing w:after="0" w:line="240" w:lineRule="auto"/>
        <w:jc w:val="center"/>
        <w:rPr>
          <w:rFonts w:asciiTheme="minorBidi" w:hAnsiTheme="minorBidi"/>
          <w:b/>
          <w:bCs/>
          <w:rtl/>
        </w:rPr>
      </w:pPr>
    </w:p>
    <w:p w:rsidR="008A09C7" w:rsidRPr="008A1360" w:rsidRDefault="008A09C7" w:rsidP="000A5D7A">
      <w:pPr>
        <w:tabs>
          <w:tab w:val="left" w:pos="3784"/>
          <w:tab w:val="center" w:pos="5102"/>
        </w:tabs>
        <w:spacing w:after="0" w:line="240" w:lineRule="auto"/>
        <w:jc w:val="center"/>
        <w:rPr>
          <w:rFonts w:asciiTheme="minorBidi" w:hAnsiTheme="minorBidi"/>
          <w:b/>
          <w:bCs/>
          <w:sz w:val="32"/>
          <w:szCs w:val="32"/>
          <w:rtl/>
        </w:rPr>
      </w:pPr>
      <w:r w:rsidRPr="008A1360">
        <w:rPr>
          <w:rFonts w:asciiTheme="minorBidi" w:hAnsiTheme="minorBidi"/>
          <w:b/>
          <w:bCs/>
          <w:sz w:val="32"/>
          <w:szCs w:val="32"/>
          <w:rtl/>
        </w:rPr>
        <w:t>היעדרו של יום הכיפורים – משלמה עד נחמיה</w:t>
      </w:r>
    </w:p>
    <w:p w:rsidR="008A09C7" w:rsidRPr="008A1360" w:rsidRDefault="008A09C7" w:rsidP="000A5D7A">
      <w:pPr>
        <w:tabs>
          <w:tab w:val="left" w:pos="3784"/>
          <w:tab w:val="center" w:pos="5102"/>
        </w:tabs>
        <w:spacing w:after="0" w:line="240" w:lineRule="auto"/>
        <w:jc w:val="center"/>
        <w:rPr>
          <w:rFonts w:asciiTheme="minorBidi" w:hAnsiTheme="minorBidi"/>
          <w:b/>
          <w:bCs/>
          <w:sz w:val="32"/>
          <w:szCs w:val="32"/>
          <w:rtl/>
        </w:rPr>
      </w:pPr>
      <w:r w:rsidRPr="008A1360">
        <w:rPr>
          <w:rFonts w:asciiTheme="minorBidi" w:hAnsiTheme="minorBidi"/>
          <w:b/>
          <w:bCs/>
          <w:sz w:val="32"/>
          <w:szCs w:val="32"/>
          <w:rtl/>
        </w:rPr>
        <w:t>מתוך הספר: זכור ושמור – טבע והיסטוריה נפגשים בשבת ובלוח החגים</w:t>
      </w:r>
    </w:p>
    <w:p w:rsidR="006874D2" w:rsidRPr="002C6308" w:rsidRDefault="006874D2" w:rsidP="006874D2">
      <w:pPr>
        <w:pStyle w:val="13"/>
        <w:rPr>
          <w:rFonts w:cs="FrankRuehl"/>
          <w:rtl/>
        </w:rPr>
      </w:pPr>
      <w:r w:rsidRPr="002C6308">
        <w:rPr>
          <w:rFonts w:cs="FrankRuehl"/>
          <w:rtl/>
        </w:rPr>
        <w:t>יום הכיפורים – סיום שנת החמה</w:t>
      </w:r>
    </w:p>
    <w:p w:rsidR="006874D2" w:rsidRPr="00100D54" w:rsidRDefault="00100D54" w:rsidP="006874D2">
      <w:pPr>
        <w:pStyle w:val="1"/>
        <w:rPr>
          <w:rFonts w:asciiTheme="minorBidi" w:hAnsiTheme="minorBidi" w:cstheme="minorBidi"/>
          <w:rtl/>
        </w:rPr>
      </w:pPr>
      <w:r>
        <w:rPr>
          <w:rFonts w:hint="cs"/>
          <w:rtl/>
        </w:rPr>
        <w:t xml:space="preserve"> </w:t>
      </w:r>
      <w:r w:rsidR="006874D2" w:rsidRPr="00100D54">
        <w:rPr>
          <w:rFonts w:asciiTheme="minorBidi" w:hAnsiTheme="minorBidi" w:cstheme="minorBidi"/>
          <w:rtl/>
        </w:rPr>
        <w:t xml:space="preserve">יום החיתום של שנת החמה </w:t>
      </w:r>
    </w:p>
    <w:p w:rsidR="006874D2" w:rsidRPr="00100D54" w:rsidRDefault="006874D2" w:rsidP="006874D2">
      <w:pPr>
        <w:pStyle w:val="af1"/>
        <w:rPr>
          <w:rFonts w:asciiTheme="minorBidi" w:hAnsiTheme="minorBidi" w:cstheme="minorBidi"/>
          <w:b/>
          <w:bCs/>
          <w:rtl/>
        </w:rPr>
      </w:pPr>
      <w:r w:rsidRPr="00100D54">
        <w:rPr>
          <w:rFonts w:asciiTheme="minorBidi" w:hAnsiTheme="minorBidi" w:cstheme="minorBidi"/>
          <w:b/>
          <w:bCs/>
          <w:rtl/>
        </w:rPr>
        <w:t>יום הכיפורים נחשב כסיום לימים הנוראים, ימי הדין, התשובה והכפרה. ביום זה (אם זוכים) מתכפרים העוונות של כל השנה שעברה – "מיום כיפורים שעבר, עד יום כיפורים זה". ואולם, כפי שראינו בפרק הקודם, יום הכיפורים הוא סיומה של שנת חמה מלאה ('מראש השנה שעבר עד יום כיפורים זה'), כלומר, שנים עשר חודשי לבנה, ועוד עשרה ימים להשלמת ההפרש הממוצע בין שנים עשר חודשים ירחיים לבין שנה שמשית. ההפרש האמתי קרוב לאחד עשר יום, אבל היום האחד עשר איננו שלם, ולכן היום העשירי בחודש תשרי של ראשית השנה, הוא היום השלם האחרון של השנה השמשית הקודמת ברוב השנים. השנה השמשית מתחלפת באמת בי"א, בי"ב או בי"ג בתשרי, בכפוף לשאלה האם שנים עשר חודשי הירח היו יותר מלאים או יותר חסרים, אבל י' בתשרי שייך תמיד לשנה שמשית קודמת (אם מתחילים למנות אותה בראש חודש תשרי הקודם), ולפיכך הוא החותם אותה.</w:t>
      </w:r>
    </w:p>
    <w:p w:rsidR="006874D2" w:rsidRPr="00100D54" w:rsidRDefault="006874D2" w:rsidP="006874D2">
      <w:pPr>
        <w:pStyle w:val="12"/>
        <w:rPr>
          <w:rFonts w:asciiTheme="minorBidi" w:hAnsiTheme="minorBidi" w:cstheme="minorBidi"/>
          <w:b/>
          <w:bCs/>
          <w:rtl/>
        </w:rPr>
      </w:pPr>
      <w:r w:rsidRPr="00100D54">
        <w:rPr>
          <w:rFonts w:asciiTheme="minorBidi" w:hAnsiTheme="minorBidi" w:cstheme="minorBidi"/>
          <w:b/>
          <w:bCs/>
          <w:rtl/>
        </w:rPr>
        <w:t>כך ביארנו גם מדוע שנת היובל מתקדשת בהעברת שופר בכל הארץ רק ביום הכיפורים (ויקרא כ"ה, ט-י), ולא ביום התרועה הרגיל, "בחֹדש השביעי באחד לחֹדש" (ויקרא כ"ג, כד; במדבר כ"ט, א), שהוא ראש החודש הירחי של ראשית השנה (ובקיצור, 'ראש השנה'), כפי שנתבאר בפרק הקודם. בשנה רגילה מכריזה התורה על ראשית השנה בראש החודש הירחי, אף שהשנה השמשית והחקלאית עוד לא הסתיימה, והיא עתידה להסתיים במהלך החודש השביעי (= תשרי); אולם כאשר ישנן שתי שנים מקודשות רצופות – שנת השבע השביעית ושנת היובל, הכרח הוא להמתין עד לחיתום האחרון של שנת השבע ביום הכיפורים, ורק אז לתקוע בשופר ולהכריז על שנת היובל המקודשת, שנת החמישים. כך הפך יום הכיפורים של היובל ליום של חיתום ופתיחה, סיום והתחלה, צום כפרה אחרון של השנה החולפת, יחד עם שופר הדרור והחרות המבשר תקופה חדשה של גאולה לאדם ולאדמה (ויקרא כ"ה).</w:t>
      </w:r>
    </w:p>
    <w:p w:rsidR="006874D2" w:rsidRPr="00100D54" w:rsidRDefault="006874D2" w:rsidP="006874D2">
      <w:pPr>
        <w:pStyle w:val="12"/>
        <w:rPr>
          <w:rFonts w:asciiTheme="minorBidi" w:hAnsiTheme="minorBidi" w:cstheme="minorBidi"/>
          <w:b/>
          <w:bCs/>
          <w:rtl/>
        </w:rPr>
      </w:pPr>
      <w:r w:rsidRPr="00100D54">
        <w:rPr>
          <w:rFonts w:asciiTheme="minorBidi" w:hAnsiTheme="minorBidi" w:cstheme="minorBidi"/>
          <w:b/>
          <w:bCs/>
          <w:rtl/>
        </w:rPr>
        <w:t>להבנה זו של יום הכיפורים ניתן להביא סימוכין נוספים, והיא עשויה לשפוך אור על נקודות שונות הנוגעות ליום הכיפורים. כך למשל, בנוגע לכפרת יום הכיפורים במשכן ובמקדש מדגישה התורה שלוש פעמים את הביטוי "אחת בשנה":</w:t>
      </w:r>
    </w:p>
    <w:p w:rsidR="006874D2" w:rsidRPr="00100D54" w:rsidRDefault="006874D2" w:rsidP="006874D2">
      <w:pPr>
        <w:pStyle w:val="11"/>
        <w:rPr>
          <w:rFonts w:asciiTheme="minorBidi" w:hAnsiTheme="minorBidi" w:cstheme="minorBidi"/>
          <w:b/>
          <w:bCs/>
          <w:rtl/>
        </w:rPr>
      </w:pPr>
      <w:r w:rsidRPr="00100D54">
        <w:rPr>
          <w:rFonts w:asciiTheme="minorBidi" w:hAnsiTheme="minorBidi" w:cstheme="minorBidi"/>
          <w:b/>
          <w:bCs/>
          <w:rtl/>
        </w:rPr>
        <w:t>וְכִפֶּר אַהֲרֹן עַל קַרְנֹתָיו [= של מזבח הקטורת] אַחַת בַּשָּׁנָה מִדַּם חַטַּאת הַכִּפֻּרִים אַחַת בַּשָּׁנָה יְכַפֵּר עָלָיו לְדֹרֹתֵיכֶם קֹדֶשׁ קָדָשִׁים הוּא לַה'</w:t>
      </w:r>
      <w:r w:rsidRPr="00100D54">
        <w:rPr>
          <w:rFonts w:asciiTheme="minorBidi" w:hAnsiTheme="minorBidi" w:cstheme="minorBidi"/>
          <w:b/>
          <w:bCs/>
          <w:rtl/>
        </w:rPr>
        <w:tab/>
        <w:t>(שמות ל', י).</w:t>
      </w:r>
      <w:r w:rsidRPr="00100D54">
        <w:rPr>
          <w:rFonts w:asciiTheme="minorBidi" w:hAnsiTheme="minorBidi" w:cstheme="minorBidi"/>
          <w:b/>
          <w:bCs/>
          <w:rtl/>
        </w:rPr>
        <w:br/>
        <w:t>וְהָיְתָה זֹּאת לָכֶם לְחֻקַּת עוֹלָם לְכַפֵּר עַל בְּנֵי יִשְׂרָאֵל מִכָּל חַטֹּאתָם אַחַת בַּשָּׁנָה</w:t>
      </w:r>
      <w:r w:rsidRPr="00100D54">
        <w:rPr>
          <w:rFonts w:asciiTheme="minorBidi" w:hAnsiTheme="minorBidi" w:cstheme="minorBidi"/>
          <w:b/>
          <w:bCs/>
          <w:rtl/>
        </w:rPr>
        <w:tab/>
      </w:r>
      <w:r w:rsidRPr="00100D54">
        <w:rPr>
          <w:rFonts w:asciiTheme="minorBidi" w:hAnsiTheme="minorBidi" w:cstheme="minorBidi"/>
          <w:b/>
          <w:bCs/>
          <w:rtl/>
        </w:rPr>
        <w:br/>
        <w:t xml:space="preserve"> </w:t>
      </w:r>
      <w:r w:rsidRPr="00100D54">
        <w:rPr>
          <w:rFonts w:asciiTheme="minorBidi" w:hAnsiTheme="minorBidi" w:cstheme="minorBidi"/>
          <w:b/>
          <w:bCs/>
          <w:rtl/>
        </w:rPr>
        <w:tab/>
        <w:t>(ויקרא ט"ז, לד).</w:t>
      </w:r>
    </w:p>
    <w:p w:rsidR="006874D2" w:rsidRPr="00100D54" w:rsidRDefault="006874D2" w:rsidP="00100D54">
      <w:pPr>
        <w:pStyle w:val="af1"/>
        <w:rPr>
          <w:rFonts w:asciiTheme="minorBidi" w:hAnsiTheme="minorBidi" w:cstheme="minorBidi"/>
          <w:b/>
          <w:bCs/>
          <w:rtl/>
        </w:rPr>
      </w:pPr>
      <w:r w:rsidRPr="00100D54">
        <w:rPr>
          <w:rFonts w:asciiTheme="minorBidi" w:hAnsiTheme="minorBidi" w:cstheme="minorBidi"/>
          <w:b/>
          <w:bCs/>
          <w:rtl/>
        </w:rPr>
        <w:t>כפי שהזכרנו בפרק 'מושגי זמן ולוח', המושג 'שנה' במקורו מתייחס לשנה שמשית, שכן אין באמת בטבע 'שנה ירחית'. התורה מדגישה אפוא את הביטוי' "אחת בשנה" בנוגע לכפרת יום הכיפורים, שכן יום זה נחשב יום מיוחד מבחינת השנה השמשית, יום של סיום השנה וכפרת עוונותיה.</w:t>
      </w:r>
    </w:p>
    <w:p w:rsidR="00CB65D5" w:rsidRDefault="00CB65D5" w:rsidP="00100D54">
      <w:pPr>
        <w:keepNext/>
        <w:tabs>
          <w:tab w:val="left" w:pos="335"/>
        </w:tabs>
        <w:overflowPunct w:val="0"/>
        <w:autoSpaceDE w:val="0"/>
        <w:autoSpaceDN w:val="0"/>
        <w:adjustRightInd w:val="0"/>
        <w:spacing w:before="60" w:after="0" w:line="312" w:lineRule="exact"/>
        <w:jc w:val="both"/>
        <w:textAlignment w:val="baseline"/>
        <w:outlineLvl w:val="0"/>
        <w:rPr>
          <w:rFonts w:asciiTheme="minorBidi" w:eastAsia="Times New Roman" w:hAnsiTheme="minorBidi" w:hint="cs"/>
          <w:b/>
          <w:bCs/>
          <w:sz w:val="24"/>
          <w:szCs w:val="24"/>
          <w:rtl/>
          <w:lang w:eastAsia="he-IL"/>
        </w:rPr>
      </w:pPr>
    </w:p>
    <w:p w:rsidR="00100D54" w:rsidRPr="00100D54" w:rsidRDefault="00100D54" w:rsidP="00100D54">
      <w:pPr>
        <w:keepNext/>
        <w:tabs>
          <w:tab w:val="left" w:pos="335"/>
        </w:tabs>
        <w:overflowPunct w:val="0"/>
        <w:autoSpaceDE w:val="0"/>
        <w:autoSpaceDN w:val="0"/>
        <w:adjustRightInd w:val="0"/>
        <w:spacing w:before="60" w:after="0" w:line="312" w:lineRule="exact"/>
        <w:jc w:val="both"/>
        <w:textAlignment w:val="baseline"/>
        <w:outlineLvl w:val="0"/>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'שני המאורות הגדולים'</w:t>
      </w:r>
    </w:p>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 xml:space="preserve">אחרי שלימדתי דברים אלה כמה שנים הראני תלמיד אחד </w:t>
      </w:r>
      <w:r w:rsidR="00CB65D5">
        <w:rPr>
          <w:rFonts w:asciiTheme="minorBidi" w:eastAsia="Times New Roman" w:hAnsiTheme="minorBidi" w:hint="cs"/>
          <w:b/>
          <w:bCs/>
          <w:sz w:val="24"/>
          <w:szCs w:val="24"/>
          <w:rtl/>
          <w:lang w:eastAsia="he-IL"/>
        </w:rPr>
        <w:t>(שמואל גרינגליק)</w:t>
      </w:r>
      <w:r w:rsidRPr="00100D54">
        <w:rPr>
          <w:rFonts w:asciiTheme="minorBidi" w:eastAsia="Times New Roman" w:hAnsiTheme="minorBidi"/>
          <w:b/>
          <w:bCs/>
          <w:sz w:val="24"/>
          <w:szCs w:val="24"/>
          <w:rtl/>
          <w:lang w:eastAsia="he-IL"/>
        </w:rPr>
        <w:t>, שעיקרו של רעיון זה כבר מופיע בחיבור התשובה של ר' מנחם המאירי:</w:t>
      </w:r>
    </w:p>
    <w:p w:rsidR="00100D54" w:rsidRPr="00100D54" w:rsidRDefault="00100D54" w:rsidP="00CB65D5">
      <w:pPr>
        <w:tabs>
          <w:tab w:val="right" w:pos="6861"/>
        </w:tabs>
        <w:spacing w:before="120" w:after="120" w:line="312" w:lineRule="exact"/>
        <w:ind w:left="567"/>
        <w:jc w:val="both"/>
        <w:rPr>
          <w:rFonts w:asciiTheme="minorBidi" w:eastAsia="Times New Roman" w:hAnsiTheme="minorBidi"/>
          <w:b/>
          <w:bCs/>
          <w:sz w:val="24"/>
          <w:szCs w:val="24"/>
          <w:rtl/>
        </w:rPr>
      </w:pPr>
      <w:r w:rsidRPr="00100D54">
        <w:rPr>
          <w:rFonts w:asciiTheme="minorBidi" w:eastAsia="Times New Roman" w:hAnsiTheme="minorBidi"/>
          <w:b/>
          <w:bCs/>
          <w:sz w:val="24"/>
          <w:szCs w:val="24"/>
          <w:rtl/>
        </w:rPr>
        <w:t xml:space="preserve">ונועד הזמן הנכבד [= יום הכיפורים] לסוף עשרה [ימים] מראש השנה, הכוונה אצלי מצד שאחד בתשרי כבר נשלמו בו ימות שנות הלבנה, ושנות החמה יתרה עליו עשרה ימים, כמו שהתפרסם לבעלי התכונה [= אסטרונומיה], והחל זאת ההערה הנכבדת [= להתעוררות התשובה] להיותה מיום הראשון לשנת הלבנה עד היום האחרון לשנת החמה, והרמז, להיות תחילה וסוף [= מתחילה ועד סוף] ליבנו נכנע </w:t>
      </w:r>
      <w:r w:rsidRPr="00100D54">
        <w:rPr>
          <w:rFonts w:asciiTheme="minorBidi" w:eastAsia="Times New Roman" w:hAnsiTheme="minorBidi"/>
          <w:b/>
          <w:bCs/>
          <w:sz w:val="24"/>
          <w:szCs w:val="24"/>
          <w:rtl/>
        </w:rPr>
        <w:lastRenderedPageBreak/>
        <w:t>לעבודתו יתעלה, ולהיות עינינו צופיות אל התכלית מראשית השנה ועד אחרית השנה. ולא חשש [הקב"ה] לקובעו בי"א [בתשרי] לחוש לחשבון י' כ"א ר"ד [= י' ימים, כ"א שעות ור"ד חלקי שעה – ההפרש המדויק בין שנת חמה לשנים עשר חודשי לבנה לפי מסורת הלוח העברי], שאין מדרכי התורה לדקדק בדקדוקים דקים אחר שאינו יום שלם, וכבר אמרו חז"ל (מגילה ה ע"א), ימים אתה מונה ואי אתה מונה שעות, מצורף אל חשבון [= חשיבות] העשירי כמו שקדם...</w:t>
      </w:r>
    </w:p>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 xml:space="preserve">כשנתיים אחרי שנוכחתי לדעת שזכיתי לכוון לדעתו של המאירי, אחד מגדולי הראשונים, הראה לי ר' ארי קאהן, שאף הגר"א כתב דברים דומים: </w:t>
      </w:r>
    </w:p>
    <w:p w:rsidR="00100D54" w:rsidRPr="00100D54" w:rsidRDefault="00100D54" w:rsidP="00CB65D5">
      <w:pPr>
        <w:tabs>
          <w:tab w:val="right" w:pos="6861"/>
        </w:tabs>
        <w:spacing w:before="120" w:after="120" w:line="312" w:lineRule="exact"/>
        <w:ind w:left="567"/>
        <w:jc w:val="both"/>
        <w:rPr>
          <w:rFonts w:asciiTheme="minorBidi" w:eastAsia="Times New Roman" w:hAnsiTheme="minorBidi"/>
          <w:b/>
          <w:bCs/>
          <w:sz w:val="24"/>
          <w:szCs w:val="24"/>
          <w:rtl/>
        </w:rPr>
      </w:pPr>
      <w:r w:rsidRPr="00100D54">
        <w:rPr>
          <w:rFonts w:asciiTheme="minorBidi" w:eastAsia="Times New Roman" w:hAnsiTheme="minorBidi"/>
          <w:b/>
          <w:bCs/>
          <w:sz w:val="24"/>
          <w:szCs w:val="24"/>
          <w:rtl/>
        </w:rPr>
        <w:t>שנת הלבנה נחלקה לי"ב חדשים, ואחר כך באלו עשרה ימים [= עשרת ימי תשובה] מתעברין בה כל הי"ב חדשים... והיא שנת החמה... לכן אין נחלקים בה לחדשים, [כיוון] ששנת החמה אין בה חודשים... ושנת החמה יתירה על שנת הלבנה עשרה ימים, ואלו הם עשרה ימים שבין ראש השנה ליום הכיפורים... ולכן הם נחשבים לשנה שעברה, כמו שאמרו (ראש השנה טז ע"א): 'אדם שאירע לו קרי [או אונס] קודם יום הכיפורים [נידון לשעבר, לאחר יום הכפורים – נידון להבא]'. ובשלשה שנים מצטרפים [הימים] לחֹדש, והוא החֹדש השלשה עשר...</w:t>
      </w:r>
    </w:p>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 xml:space="preserve">אחר שזכינו בעזרת ה' לכוון הבנת התורה עם שני המאורות הגדולים, המאירי והגר"א, יכולים אנו להתבונן בתורה ובדברי חז"ל בביטחון גמור ובמנוחת הנפש, עם שמחת הגילוי של הארת התורה החוזרת למשכנה בארץ נחלת ה'. </w:t>
      </w:r>
    </w:p>
    <w:p w:rsidR="00CB65D5" w:rsidRDefault="00CB65D5" w:rsidP="00100D54">
      <w:pPr>
        <w:keepNext/>
        <w:tabs>
          <w:tab w:val="left" w:pos="335"/>
        </w:tabs>
        <w:overflowPunct w:val="0"/>
        <w:autoSpaceDE w:val="0"/>
        <w:autoSpaceDN w:val="0"/>
        <w:adjustRightInd w:val="0"/>
        <w:spacing w:before="60" w:after="0" w:line="312" w:lineRule="exact"/>
        <w:jc w:val="both"/>
        <w:textAlignment w:val="baseline"/>
        <w:outlineLvl w:val="0"/>
        <w:rPr>
          <w:rFonts w:asciiTheme="minorBidi" w:eastAsia="Times New Roman" w:hAnsiTheme="minorBidi" w:hint="cs"/>
          <w:b/>
          <w:bCs/>
          <w:sz w:val="24"/>
          <w:szCs w:val="24"/>
          <w:rtl/>
          <w:lang w:eastAsia="he-IL"/>
        </w:rPr>
      </w:pPr>
    </w:p>
    <w:p w:rsidR="00100D54" w:rsidRPr="00100D54" w:rsidRDefault="00100D54" w:rsidP="00100D54">
      <w:pPr>
        <w:keepNext/>
        <w:tabs>
          <w:tab w:val="left" w:pos="335"/>
        </w:tabs>
        <w:overflowPunct w:val="0"/>
        <w:autoSpaceDE w:val="0"/>
        <w:autoSpaceDN w:val="0"/>
        <w:adjustRightInd w:val="0"/>
        <w:spacing w:before="60" w:after="0" w:line="312" w:lineRule="exact"/>
        <w:jc w:val="both"/>
        <w:textAlignment w:val="baseline"/>
        <w:outlineLvl w:val="0"/>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 xml:space="preserve"> יום התרועה ויום הכיפורים</w:t>
      </w:r>
    </w:p>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בתודעתנו יום התרועה ('ראש השנה') ויום הכיפורים הם חלק ממערכת אחת של 'הימים הנוראים' או 'ימי הדין'; אולם לאור דברינו ישנו הבדל משמעותי בין שני הימים: יום התרועה הוא ראש החודש הירחי של ראשית השנה השמשית, והוא מציין אפוא את תחילתה של שנה חדשה, ואילו יום הכיפורים מציין את הסיום, את חיתומה של השנה השמשית החולפת.</w:t>
      </w:r>
    </w:p>
    <w:p w:rsidR="00100D54" w:rsidRPr="00100D54" w:rsidRDefault="00100D54" w:rsidP="00100D54">
      <w:pPr>
        <w:tabs>
          <w:tab w:val="left" w:pos="335"/>
        </w:tabs>
        <w:overflowPunct w:val="0"/>
        <w:autoSpaceDE w:val="0"/>
        <w:autoSpaceDN w:val="0"/>
        <w:adjustRightInd w:val="0"/>
        <w:spacing w:after="0" w:line="312" w:lineRule="exact"/>
        <w:ind w:firstLine="340"/>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פתיחת השנה מצוינת במסדר תרועה חגיגי של התייצבות לפני המלך, אשר מופיע לפקוד את ברואיו 'בשדה', כלומר בכל מקום שבו הם חיים, ואילו סיום השנה מתאפיין בהתייצבות של סיכום וחשבון לפני המלך בהיכלו.</w:t>
      </w:r>
    </w:p>
    <w:p w:rsidR="00100D54" w:rsidRPr="00100D54" w:rsidRDefault="00100D54" w:rsidP="00100D54">
      <w:pPr>
        <w:tabs>
          <w:tab w:val="left" w:pos="335"/>
        </w:tabs>
        <w:overflowPunct w:val="0"/>
        <w:autoSpaceDE w:val="0"/>
        <w:autoSpaceDN w:val="0"/>
        <w:adjustRightInd w:val="0"/>
        <w:spacing w:after="0" w:line="312" w:lineRule="exact"/>
        <w:ind w:firstLine="340"/>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אכן, די בהתבוננות ראשונית כדי לראות שיום הכיפורים הוא ממש היפוכו של יום התרועה בכל המובנים:</w:t>
      </w:r>
    </w:p>
    <w:tbl>
      <w:tblPr>
        <w:bidiVisual/>
        <w:tblW w:w="0" w:type="auto"/>
        <w:tblLook w:val="04A0"/>
      </w:tblPr>
      <w:tblGrid>
        <w:gridCol w:w="3519"/>
        <w:gridCol w:w="3557"/>
      </w:tblGrid>
      <w:tr w:rsidR="00100D54" w:rsidRPr="00100D54" w:rsidTr="0075048C">
        <w:tc>
          <w:tcPr>
            <w:tcW w:w="3519" w:type="dxa"/>
            <w:shd w:val="clear" w:color="auto" w:fill="auto"/>
          </w:tcPr>
          <w:p w:rsidR="00100D54" w:rsidRPr="00100D54" w:rsidRDefault="00100D54" w:rsidP="00100D54">
            <w:pPr>
              <w:tabs>
                <w:tab w:val="right" w:pos="6861"/>
              </w:tabs>
              <w:spacing w:before="120" w:after="120" w:line="312" w:lineRule="exact"/>
              <w:ind w:left="567"/>
              <w:jc w:val="both"/>
              <w:rPr>
                <w:rFonts w:asciiTheme="minorBidi" w:eastAsia="Times New Roman" w:hAnsiTheme="minorBidi"/>
                <w:b/>
                <w:bCs/>
                <w:sz w:val="24"/>
                <w:szCs w:val="24"/>
                <w:rtl/>
              </w:rPr>
            </w:pPr>
            <w:r w:rsidRPr="00100D54">
              <w:rPr>
                <w:rFonts w:asciiTheme="minorBidi" w:eastAsia="Times New Roman" w:hAnsiTheme="minorBidi"/>
                <w:b/>
                <w:bCs/>
                <w:sz w:val="24"/>
                <w:szCs w:val="24"/>
                <w:rtl/>
              </w:rPr>
              <w:t>יום התרועה ('ראש השנה')</w:t>
            </w:r>
          </w:p>
        </w:tc>
        <w:tc>
          <w:tcPr>
            <w:tcW w:w="3557" w:type="dxa"/>
            <w:shd w:val="clear" w:color="auto" w:fill="auto"/>
          </w:tcPr>
          <w:p w:rsidR="00100D54" w:rsidRPr="00100D54" w:rsidRDefault="00100D54" w:rsidP="00CB65D5">
            <w:pPr>
              <w:tabs>
                <w:tab w:val="right" w:pos="6861"/>
              </w:tabs>
              <w:spacing w:before="120" w:after="120" w:line="312" w:lineRule="exact"/>
              <w:ind w:left="567"/>
              <w:jc w:val="right"/>
              <w:rPr>
                <w:rFonts w:asciiTheme="minorBidi" w:eastAsia="Times New Roman" w:hAnsiTheme="minorBidi"/>
                <w:b/>
                <w:bCs/>
                <w:sz w:val="24"/>
                <w:szCs w:val="24"/>
                <w:rtl/>
              </w:rPr>
            </w:pPr>
            <w:r w:rsidRPr="00100D54">
              <w:rPr>
                <w:rFonts w:asciiTheme="minorBidi" w:eastAsia="Times New Roman" w:hAnsiTheme="minorBidi"/>
                <w:b/>
                <w:bCs/>
                <w:sz w:val="24"/>
                <w:szCs w:val="24"/>
                <w:rtl/>
              </w:rPr>
              <w:t>יום הכיפורים</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שבתון</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שבת שבתון</w:t>
            </w:r>
          </w:p>
        </w:tc>
      </w:tr>
      <w:tr w:rsidR="00100D54" w:rsidRPr="00100D54" w:rsidTr="0075048C">
        <w:tc>
          <w:tcPr>
            <w:tcW w:w="3519" w:type="dxa"/>
            <w:shd w:val="clear" w:color="auto" w:fill="auto"/>
          </w:tcPr>
          <w:p w:rsidR="00CB65D5" w:rsidRDefault="00100D54" w:rsidP="00CB65D5">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hint="cs"/>
                <w:b/>
                <w:bCs/>
                <w:sz w:val="24"/>
                <w:szCs w:val="24"/>
                <w:rtl/>
                <w:lang w:eastAsia="he-IL"/>
              </w:rPr>
            </w:pPr>
            <w:r w:rsidRPr="00100D54">
              <w:rPr>
                <w:rFonts w:asciiTheme="minorBidi" w:eastAsia="Times New Roman" w:hAnsiTheme="minorBidi"/>
                <w:b/>
                <w:bCs/>
                <w:sz w:val="24"/>
                <w:szCs w:val="24"/>
                <w:rtl/>
                <w:lang w:eastAsia="he-IL"/>
              </w:rPr>
              <w:t xml:space="preserve">סעודות חג </w:t>
            </w:r>
          </w:p>
          <w:p w:rsidR="00100D54" w:rsidRPr="00100D54" w:rsidRDefault="00100D54" w:rsidP="00CB65D5">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(ראו: נחמיה ח', ב, י-יב)</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צום ועינוי נפש (היחיד בתורה)</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שופר ותרועה בכל הארץ</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וידוי וכפרה (מנהג לתקוע בסוף היום)</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 xml:space="preserve">אין אומרים סליחות, </w:t>
            </w:r>
          </w:p>
          <w:p w:rsidR="00100D54" w:rsidRPr="00100D54" w:rsidRDefault="00100D54" w:rsidP="00CB65D5">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וידוי ומידות הרחמים</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 xml:space="preserve">כל היום אומרים סליחות, </w:t>
            </w:r>
          </w:p>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וידוי ומידות הרחמים</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מלכויות, זיכרונות ושופרות</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תפילת שבע עם וידוי</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אין עבודה מיוחדת במקדש</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העיקר הוא עבודת המקדש</w:t>
            </w:r>
          </w:p>
        </w:tc>
      </w:tr>
      <w:tr w:rsidR="00100D54" w:rsidRPr="00100D54" w:rsidTr="0075048C">
        <w:tc>
          <w:tcPr>
            <w:tcW w:w="3519"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'המלך בשדה'</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'המלך בהיכלו'</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יום זיכרון = יום דין לכל באי עולם</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יום חנינה וכפרה לישראל</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ראש החודש של ראשית השנה</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חיתום, סיום וסיכום</w:t>
            </w:r>
          </w:p>
        </w:tc>
      </w:tr>
      <w:tr w:rsidR="00100D54" w:rsidRPr="00100D54" w:rsidTr="0075048C">
        <w:tc>
          <w:tcPr>
            <w:tcW w:w="3519" w:type="dxa"/>
            <w:shd w:val="clear" w:color="auto" w:fill="auto"/>
          </w:tcPr>
          <w:p w:rsidR="00100D54" w:rsidRPr="00100D54" w:rsidRDefault="00100D54" w:rsidP="00100D54">
            <w:pPr>
              <w:tabs>
                <w:tab w:val="left" w:pos="335"/>
              </w:tabs>
              <w:overflowPunct w:val="0"/>
              <w:autoSpaceDE w:val="0"/>
              <w:autoSpaceDN w:val="0"/>
              <w:adjustRightInd w:val="0"/>
              <w:spacing w:after="0" w:line="312" w:lineRule="exact"/>
              <w:jc w:val="both"/>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מועד ירחי</w:t>
            </w:r>
          </w:p>
        </w:tc>
        <w:tc>
          <w:tcPr>
            <w:tcW w:w="3557" w:type="dxa"/>
            <w:shd w:val="clear" w:color="auto" w:fill="auto"/>
          </w:tcPr>
          <w:p w:rsidR="00100D54" w:rsidRPr="00100D54" w:rsidRDefault="00100D54" w:rsidP="00CB65D5">
            <w:pPr>
              <w:tabs>
                <w:tab w:val="left" w:pos="335"/>
              </w:tabs>
              <w:overflowPunct w:val="0"/>
              <w:autoSpaceDE w:val="0"/>
              <w:autoSpaceDN w:val="0"/>
              <w:adjustRightInd w:val="0"/>
              <w:spacing w:after="0" w:line="312" w:lineRule="exact"/>
              <w:jc w:val="right"/>
              <w:textAlignment w:val="baseline"/>
              <w:rPr>
                <w:rFonts w:asciiTheme="minorBidi" w:eastAsia="Times New Roman" w:hAnsiTheme="minorBidi"/>
                <w:b/>
                <w:bCs/>
                <w:sz w:val="24"/>
                <w:szCs w:val="24"/>
                <w:rtl/>
                <w:lang w:eastAsia="he-IL"/>
              </w:rPr>
            </w:pPr>
            <w:r w:rsidRPr="00100D54">
              <w:rPr>
                <w:rFonts w:asciiTheme="minorBidi" w:eastAsia="Times New Roman" w:hAnsiTheme="minorBidi"/>
                <w:b/>
                <w:bCs/>
                <w:sz w:val="24"/>
                <w:szCs w:val="24"/>
                <w:rtl/>
                <w:lang w:eastAsia="he-IL"/>
              </w:rPr>
              <w:t>מועד שמשי</w:t>
            </w:r>
          </w:p>
        </w:tc>
      </w:tr>
    </w:tbl>
    <w:p w:rsidR="006874D2" w:rsidRDefault="006874D2" w:rsidP="008A09C7">
      <w:pPr>
        <w:pStyle w:val="1"/>
        <w:rPr>
          <w:rFonts w:asciiTheme="minorBidi" w:hAnsiTheme="minorBidi" w:cstheme="minorBidi" w:hint="cs"/>
          <w:rtl/>
        </w:rPr>
      </w:pPr>
    </w:p>
    <w:p w:rsidR="008A09C7" w:rsidRPr="008A1360" w:rsidRDefault="008A09C7" w:rsidP="008A09C7">
      <w:pPr>
        <w:pStyle w:val="1"/>
        <w:rPr>
          <w:rFonts w:asciiTheme="minorBidi" w:hAnsiTheme="minorBidi" w:cstheme="minorBidi"/>
          <w:rtl/>
        </w:rPr>
      </w:pPr>
      <w:r w:rsidRPr="008A1360">
        <w:rPr>
          <w:rFonts w:asciiTheme="minorBidi" w:hAnsiTheme="minorBidi" w:cstheme="minorBidi"/>
          <w:rtl/>
        </w:rPr>
        <w:t>יום הכיפורים בימי שלמה</w:t>
      </w:r>
    </w:p>
    <w:p w:rsidR="00100D54" w:rsidRPr="00100D54" w:rsidRDefault="008A09C7" w:rsidP="00100D54">
      <w:pPr>
        <w:pStyle w:val="13"/>
        <w:jc w:val="both"/>
        <w:rPr>
          <w:rFonts w:cs="FrankRuehl"/>
          <w:sz w:val="24"/>
          <w:szCs w:val="24"/>
          <w:rtl/>
        </w:rPr>
      </w:pPr>
      <w:r w:rsidRPr="00100D54">
        <w:rPr>
          <w:rFonts w:asciiTheme="minorBidi" w:hAnsiTheme="minorBidi" w:cstheme="minorBidi"/>
          <w:sz w:val="24"/>
          <w:szCs w:val="24"/>
          <w:rtl/>
        </w:rPr>
        <w:t>בתיאור חנוכת הבית לה' בימי שלמה נאמר:</w:t>
      </w:r>
      <w:r w:rsidR="00100D54" w:rsidRPr="00100D54">
        <w:rPr>
          <w:rFonts w:cs="FrankRuehl"/>
          <w:sz w:val="24"/>
          <w:szCs w:val="24"/>
          <w:rtl/>
        </w:rPr>
        <w:t xml:space="preserve"> </w:t>
      </w:r>
    </w:p>
    <w:p w:rsidR="008A09C7" w:rsidRPr="008A1360" w:rsidRDefault="008A09C7" w:rsidP="008A09C7">
      <w:pPr>
        <w:pStyle w:val="11"/>
        <w:rPr>
          <w:rFonts w:asciiTheme="minorBidi" w:hAnsiTheme="minorBidi" w:cstheme="minorBidi"/>
          <w:b/>
          <w:bCs/>
          <w:rtl/>
        </w:rPr>
      </w:pPr>
      <w:r w:rsidRPr="008A1360">
        <w:rPr>
          <w:rFonts w:asciiTheme="minorBidi" w:hAnsiTheme="minorBidi" w:cstheme="minorBidi"/>
          <w:b/>
          <w:bCs/>
          <w:rtl/>
        </w:rPr>
        <w:t>וַיַּעַשׂ שְׁלֹמֹה בָעֵת הַהִיא אֶת הֶחָג [= חג הסוכות] וְכָל יִשְׂרָאֵל עִמּוֹ קָהָל גָּדוֹל... שִׁבְעַת יָמִים וְשִׁבְעַת יָמִים אַרְבָּעָה עָשָׂר יוֹם. בַּיּוֹם הַשְּׁמִינִי שִׁלַּח אֶת הָעָם... וַיֵּלְכוּ לְאָהֳלֵיהֶם שְׂמֵחִים וְטוֹבֵי לֵב עַל כָּל הַטּוֹבָה אֲשֶׁר עָשָׂה ה' לְדָוִד עַבְדּוֹ וּלְיִשְׂרָאֵל עַמּוֹ</w:t>
      </w:r>
      <w:r w:rsidRPr="008A1360">
        <w:rPr>
          <w:rFonts w:asciiTheme="minorBidi" w:hAnsiTheme="minorBidi" w:cstheme="minorBidi"/>
          <w:b/>
          <w:bCs/>
          <w:rtl/>
        </w:rPr>
        <w:tab/>
      </w:r>
      <w:r w:rsidRPr="008A1360">
        <w:rPr>
          <w:rFonts w:asciiTheme="minorBidi" w:hAnsiTheme="minorBidi" w:cstheme="minorBidi"/>
          <w:b/>
          <w:bCs/>
          <w:rtl/>
        </w:rPr>
        <w:br/>
        <w:t xml:space="preserve"> </w:t>
      </w:r>
      <w:r w:rsidRPr="008A1360">
        <w:rPr>
          <w:rFonts w:asciiTheme="minorBidi" w:hAnsiTheme="minorBidi" w:cstheme="minorBidi"/>
          <w:b/>
          <w:bCs/>
          <w:rtl/>
        </w:rPr>
        <w:tab/>
        <w:t>(מלכים-א ח', סה-סו).</w:t>
      </w:r>
    </w:p>
    <w:p w:rsidR="008A09C7" w:rsidRPr="008A1360" w:rsidRDefault="008A09C7" w:rsidP="008A09C7">
      <w:pPr>
        <w:pStyle w:val="11"/>
        <w:rPr>
          <w:rFonts w:asciiTheme="minorBidi" w:hAnsiTheme="minorBidi" w:cstheme="minorBidi"/>
          <w:b/>
          <w:bCs/>
          <w:rtl/>
        </w:rPr>
      </w:pPr>
      <w:r w:rsidRPr="008A1360">
        <w:rPr>
          <w:rFonts w:asciiTheme="minorBidi" w:hAnsiTheme="minorBidi" w:cstheme="minorBidi"/>
          <w:b/>
          <w:bCs/>
          <w:rtl/>
        </w:rPr>
        <w:t xml:space="preserve">לפי פשטות הכתובים, עם ישראל חגג ארבעה עשר ימים רצופים – שבעה ימים של חנוכת הבית ועוד שבעה ימים של חג הסוכות. בגמרא (מועד קטן ט ע"א) מסיק מכך רבי יוחנן, ש"אותה שנה לא עשו ישראל את יום הכיפורים". כך כתב רש"י גם בפירושו למלכים שם – "נמצא שאכלו ושתו ביום הכיפורים". </w:t>
      </w:r>
    </w:p>
    <w:p w:rsidR="008A09C7" w:rsidRPr="008A1360" w:rsidRDefault="008A09C7" w:rsidP="008A09C7">
      <w:pPr>
        <w:pStyle w:val="12"/>
        <w:rPr>
          <w:rFonts w:asciiTheme="minorBidi" w:hAnsiTheme="minorBidi" w:cstheme="minorBidi"/>
          <w:b/>
          <w:bCs/>
          <w:rtl/>
        </w:rPr>
      </w:pPr>
      <w:r w:rsidRPr="008A1360">
        <w:rPr>
          <w:rFonts w:asciiTheme="minorBidi" w:hAnsiTheme="minorBidi" w:cstheme="minorBidi"/>
          <w:b/>
          <w:bCs/>
          <w:rtl/>
        </w:rPr>
        <w:t>סוגיית הגמרא מתלבטת בשאלה, מניין למדו לבטל את יום הכיפורים ומדוע אכלו ושתו – מדוע המשיכו לחוג את חנוכת הבית ביום הכיפורים, ומדוע לא קיימו לפחות את הצום? רד"ק בפירושו למלכים (שם) הוסיף והעיר, שלפי פשוטו של מקרא אין הכרח לומר שאכלו ושתו ביום הכיפורים. אמנם ברור ששבעת הימים של חנוכת הבית היו רצופים לפני סוכות, שהרי הכתוב מונה ברצף וגם מסכם – "שבעת ימים ושבעת ימים ארבעה עשר יום" (שם, סה), אולם ייתכן שביום הכיפורים רק הקריבו את קרבנות חנוכת הבית, אך לא אכלו ולא שתו אלא למחרת, וכך שואלת גם סוגיית הגמרא (שם). ואולם הגמרא אומרת ש"אין שמחה בלא אכילה ושתיה", ולכן אכלו ושתו ביום הכיפורים. רלב"ג בפירושו למלכים (שם) קובע, שהייתה זו הוראת שעה.</w:t>
      </w:r>
    </w:p>
    <w:p w:rsidR="008A09C7" w:rsidRPr="008A1360" w:rsidRDefault="008A09C7" w:rsidP="008A09C7">
      <w:pPr>
        <w:pStyle w:val="12"/>
        <w:rPr>
          <w:rFonts w:asciiTheme="minorBidi" w:hAnsiTheme="minorBidi" w:cstheme="minorBidi"/>
          <w:b/>
          <w:bCs/>
          <w:rtl/>
        </w:rPr>
      </w:pPr>
      <w:r w:rsidRPr="008A1360">
        <w:rPr>
          <w:rFonts w:asciiTheme="minorBidi" w:hAnsiTheme="minorBidi" w:cstheme="minorBidi"/>
          <w:b/>
          <w:bCs/>
          <w:rtl/>
        </w:rPr>
        <w:t>כל זה מוזר ביותר – וכי לא הייתה לשלמה דרך אחרת לחגוג את חנוכת הבית בלי לעקור את יום הכיפורים? – הלוא אפשר לחנוך את הבית בניסן, כמו במשכן? גם אם היו נימוקים כבדי משקל לחנוך את הבית סמוך לסוכות, יכלו לקיים את חנוכת הבית מראש החודש השביעי, בלי רציפות לסוכות – וכי הרציפות בין ימי חנוכת הבית לימי חג הסוכות (כהדגשת הכתוב: "שבעת ימים ושבעת ימים ארבעה עשר יום") חשובה יותר מיום הכיפורים?!</w:t>
      </w:r>
    </w:p>
    <w:p w:rsidR="008A09C7" w:rsidRPr="008A1360" w:rsidRDefault="008A09C7" w:rsidP="008A09C7">
      <w:pPr>
        <w:pStyle w:val="12"/>
        <w:rPr>
          <w:rFonts w:asciiTheme="minorBidi" w:hAnsiTheme="minorBidi" w:cstheme="minorBidi"/>
          <w:b/>
          <w:bCs/>
          <w:rtl/>
        </w:rPr>
      </w:pPr>
      <w:r w:rsidRPr="008A1360">
        <w:rPr>
          <w:rFonts w:asciiTheme="minorBidi" w:hAnsiTheme="minorBidi" w:cstheme="minorBidi"/>
          <w:b/>
          <w:bCs/>
          <w:rtl/>
        </w:rPr>
        <w:t xml:space="preserve">ואמנם, רבי יוחנן (בגמרא שם) מבטא תמיהה זו בדבריו: </w:t>
      </w:r>
    </w:p>
    <w:p w:rsidR="008A09C7" w:rsidRPr="008A1360" w:rsidRDefault="008A09C7" w:rsidP="008A09C7">
      <w:pPr>
        <w:pStyle w:val="11"/>
        <w:rPr>
          <w:rFonts w:asciiTheme="minorBidi" w:hAnsiTheme="minorBidi" w:cstheme="minorBidi"/>
          <w:b/>
          <w:bCs/>
          <w:rtl/>
        </w:rPr>
      </w:pPr>
      <w:r w:rsidRPr="008A1360">
        <w:rPr>
          <w:rFonts w:asciiTheme="minorBidi" w:hAnsiTheme="minorBidi" w:cstheme="minorBidi"/>
          <w:b/>
          <w:bCs/>
          <w:rtl/>
        </w:rPr>
        <w:t>אמר רבי פרנך אמר רבי יוחנן: אותה שנה לא עשו ישראל את יום הכפורים, והיו דואגים ואומרים: שמא נתחייבו שונאיהן של ישראל [= לשון 'סגי נהור'] כלייה. יצתה בת קול ואמרה להם: כולכם מזומנין לחיי העולם הבא.</w:t>
      </w:r>
    </w:p>
    <w:p w:rsidR="008A09C7" w:rsidRPr="008A1360" w:rsidRDefault="008A09C7" w:rsidP="008A09C7">
      <w:pPr>
        <w:pStyle w:val="12"/>
        <w:ind w:firstLine="0"/>
        <w:rPr>
          <w:rFonts w:asciiTheme="minorBidi" w:hAnsiTheme="minorBidi" w:cstheme="minorBidi"/>
          <w:b/>
          <w:bCs/>
          <w:rtl/>
        </w:rPr>
      </w:pPr>
      <w:r w:rsidRPr="008A1360">
        <w:rPr>
          <w:rFonts w:asciiTheme="minorBidi" w:hAnsiTheme="minorBidi" w:cstheme="minorBidi"/>
          <w:b/>
          <w:bCs/>
          <w:rtl/>
        </w:rPr>
        <w:t>מהמשך הסוגיה מתברר, שבת קול זו נרמזה בשמחה ובטוב הלבב שבהם הלכו לאוהליהם אחרי חג הסוכות; אולם מה עבר עליהם באותו יום הכיפורים לפני שיצאה בת הקול? איך אפשר ליישב את השמחה של חנוכת הבית באכילת בשר ושתיית יין יחד עם הדאגה החמורה מביטול יום הכיפורים וביטול הכפרה? האם מסתבר ששלמה וכל ישראל שמחו ואכלו ושתו, ורק צדיקים כרבי יוחנן היו דואגים וחרדים?</w:t>
      </w:r>
    </w:p>
    <w:p w:rsidR="008A1360" w:rsidRPr="008A1360" w:rsidRDefault="008A1360" w:rsidP="006874D2">
      <w:pPr>
        <w:pStyle w:val="12"/>
        <w:rPr>
          <w:rFonts w:asciiTheme="minorBidi" w:hAnsiTheme="minorBidi" w:cstheme="minorBidi"/>
          <w:b/>
          <w:bCs/>
          <w:rtl/>
        </w:rPr>
      </w:pPr>
      <w:r w:rsidRPr="008A1360">
        <w:rPr>
          <w:rFonts w:asciiTheme="minorBidi" w:hAnsiTheme="minorBidi" w:cstheme="minorBidi"/>
          <w:b/>
          <w:bCs/>
          <w:rtl/>
        </w:rPr>
        <w:t xml:space="preserve">שאלה גדולה זו מקבלת מבט אחר לגמרי, אם מבינים כהלכה את משמעותו של יום הכיפורים כיום הכפרה והחיתום של שנת החמה המסתיימת, </w:t>
      </w:r>
      <w:r w:rsidRPr="008A1360">
        <w:rPr>
          <w:rFonts w:asciiTheme="minorBidi" w:hAnsiTheme="minorBidi" w:cstheme="minorBidi"/>
          <w:b/>
          <w:bCs/>
          <w:u w:val="single"/>
          <w:rtl/>
        </w:rPr>
        <w:t>ושנה כזאת לא הייתה במקדש בזמן חנוכתו</w:t>
      </w:r>
      <w:r w:rsidRPr="008A1360">
        <w:rPr>
          <w:rFonts w:asciiTheme="minorBidi" w:hAnsiTheme="minorBidi" w:cstheme="minorBidi"/>
          <w:b/>
          <w:bCs/>
          <w:rtl/>
        </w:rPr>
        <w:t>. עבודת הכפרה במקדש ביום הכיפורים מכוונת בראש ובראשונה לכפר ולטהר את המקדש עצמו מכל הטומאות שדבקו בו במהלך השנה שחלפה, ורק אחר כך, בזכות כפרה זו, מכפרת העבודה על חטאי בני ישראל במקדש ומחוצה לו – "וכִפֶּר על הקֹדש מִטֻּמְאֹת בני ישראל ומפשעיהם לכל חַטֹּאתם" (ויקרא ט"ז, טז); "וכִפֶּר את מקדש הקֹדש ואת אהל מועד ואת המזבח יכפר" (שם, לג), ורק אחר כך "ועל הכהנים ועל כל עם הקהל יכפר" (שם).</w:t>
      </w:r>
    </w:p>
    <w:p w:rsidR="008A1360" w:rsidRPr="008A1360" w:rsidRDefault="008A1360" w:rsidP="008A1360">
      <w:pPr>
        <w:pStyle w:val="12"/>
        <w:rPr>
          <w:rFonts w:asciiTheme="minorBidi" w:hAnsiTheme="minorBidi" w:cstheme="minorBidi"/>
          <w:b/>
          <w:bCs/>
          <w:rtl/>
        </w:rPr>
      </w:pPr>
      <w:r w:rsidRPr="008A1360">
        <w:rPr>
          <w:rFonts w:asciiTheme="minorBidi" w:hAnsiTheme="minorBidi" w:cstheme="minorBidi"/>
          <w:b/>
          <w:bCs/>
          <w:rtl/>
        </w:rPr>
        <w:t xml:space="preserve">מכאן ברור, שעבודת יום הכיפורים בימי חנוכת הבית היא ממש בלתי-אפשרית – אי אפשר לטהר מקדש שזה עכשיו נחנך ולכפר על הטומאות והפשעים </w:t>
      </w:r>
      <w:r w:rsidRPr="008A1360">
        <w:rPr>
          <w:rFonts w:asciiTheme="minorBidi" w:hAnsiTheme="minorBidi" w:cstheme="minorBidi"/>
          <w:b/>
          <w:bCs/>
          <w:u w:val="single"/>
          <w:rtl/>
        </w:rPr>
        <w:t>שלא נעשו בו</w:t>
      </w:r>
      <w:r w:rsidRPr="008A1360">
        <w:rPr>
          <w:rFonts w:asciiTheme="minorBidi" w:hAnsiTheme="minorBidi" w:cstheme="minorBidi"/>
          <w:b/>
          <w:bCs/>
          <w:rtl/>
        </w:rPr>
        <w:t xml:space="preserve"> במשך השנה המסתיימת. כמובן, </w:t>
      </w:r>
      <w:r w:rsidRPr="008A1360">
        <w:rPr>
          <w:rFonts w:asciiTheme="minorBidi" w:hAnsiTheme="minorBidi" w:cstheme="minorBidi"/>
          <w:b/>
          <w:bCs/>
          <w:rtl/>
        </w:rPr>
        <w:lastRenderedPageBreak/>
        <w:t>אסור לשלח שעיר לעזאזל על פשעי בני ישראל מחוץ למקדש בלי להקריב במקביל את השעיר הפנימי, שהרי התורה תלתה אותם זה בזה בפירוש. לפני חנוכת הבית, כמו אחרי חורבנו, ודאי חובה להתענות, להתוודות ולכפר על עם ישראל בלי כפרת מקדש, אבל כשיש מקדש בנוי והוא נחנך לפנינו, אי-אפשר בשום פנים לנהוג יום הכיפורים לחצאין, כאילו אין מקדש.</w:t>
      </w:r>
    </w:p>
    <w:p w:rsidR="008A1360" w:rsidRPr="008A1360" w:rsidRDefault="008A1360" w:rsidP="008A1360">
      <w:pPr>
        <w:pStyle w:val="12"/>
        <w:rPr>
          <w:rFonts w:asciiTheme="minorBidi" w:hAnsiTheme="minorBidi" w:cstheme="minorBidi"/>
          <w:b/>
          <w:bCs/>
          <w:rtl/>
        </w:rPr>
      </w:pPr>
      <w:r w:rsidRPr="008A1360">
        <w:rPr>
          <w:rFonts w:asciiTheme="minorBidi" w:hAnsiTheme="minorBidi" w:cstheme="minorBidi"/>
          <w:b/>
          <w:bCs/>
          <w:rtl/>
        </w:rPr>
        <w:t>החשיבה ההלכתית-רבנית המוכרת הייתה מכריעה ללא כל ספק, לנהוג צום ועינוי מספק ומרוב דאגה דתית לכפרת עם ישראל, ומאידך גיסא, לנהוג גם חנוכת הבית בקרבנות שמחה (=שלמים), שייאכלו ברוב שמחה אחרי הצום. רעיון זה אמנם עלה בדיון הגמרא (מועד קטן ט ע"א) ונדחה, אולם כל הלימודים מן הפסוקים על דחיית יום הכיפורים בחנוכת המשכן והמקדש אינם מספיקים להסיר את הדאגה מהעדר הכפרה על העם. המקדש איננו זקוק לכפרה, ואי אפשר כלל לכפר על מה שלא נעשה בו, אולם העם זקוק מאוד לכפרה על כל פשעיו בשנה המסתיימת, והתלות בין כפרת המקדש לבין כפרת העם עלולה לגרום סכנת כליה לעם. על דאגה זו יכלה לענות רק 'בת קול' (כדברי הגמרא שם), שפירשה את השמחה המתוארת בכתוב, שהיא היא כפרת עם ישראל בשנה ההיא לפני ה', כי זה באמת מה שה' רצה כאשר השכין את שכינתו בבית שבנה שלמה.</w:t>
      </w:r>
    </w:p>
    <w:p w:rsidR="008A1360" w:rsidRPr="008A1360" w:rsidRDefault="008A1360" w:rsidP="008A1360">
      <w:pPr>
        <w:pStyle w:val="12"/>
        <w:rPr>
          <w:rFonts w:asciiTheme="minorBidi" w:hAnsiTheme="minorBidi" w:cstheme="minorBidi"/>
          <w:b/>
          <w:bCs/>
          <w:rtl/>
        </w:rPr>
      </w:pPr>
      <w:r w:rsidRPr="008A1360">
        <w:rPr>
          <w:rFonts w:asciiTheme="minorBidi" w:hAnsiTheme="minorBidi" w:cstheme="minorBidi"/>
          <w:b/>
          <w:bCs/>
          <w:rtl/>
        </w:rPr>
        <w:t>מסורת חז"ל מוכיחה את עצמה כמפתח להבנה הנכונה של עבודת יום הכיפורים, שאיננה אפשרית כלל בשנת חנוכת הבית. הפתרון של שלמה היה גאוני – שבעת ימי חנוכת הבית לפני חג הסוכות באו במקום יום הכיפורים הבלתי-אפשרי.</w:t>
      </w:r>
    </w:p>
    <w:p w:rsidR="008A1360" w:rsidRPr="008A1360" w:rsidRDefault="008A1360" w:rsidP="008A1360">
      <w:pPr>
        <w:pStyle w:val="12"/>
        <w:rPr>
          <w:rFonts w:asciiTheme="minorBidi" w:hAnsiTheme="minorBidi" w:cstheme="minorBidi"/>
          <w:b/>
          <w:bCs/>
          <w:rtl/>
        </w:rPr>
      </w:pPr>
      <w:r w:rsidRPr="008A1360">
        <w:rPr>
          <w:rFonts w:asciiTheme="minorBidi" w:hAnsiTheme="minorBidi" w:cstheme="minorBidi"/>
          <w:b/>
          <w:bCs/>
          <w:rtl/>
        </w:rPr>
        <w:t xml:space="preserve">מאותה סיבה לא יכלו לקיים את עבודת יום הכיפורים בחנוכת המזבח בעליית זרובבל (עזרא ג'), ומסתבר גם שאי-אפשר לקיים עבודה זו בלי מקדש שלם שיש בו דביר פנימי (=קודש קודשים). </w:t>
      </w:r>
    </w:p>
    <w:p w:rsidR="008A1360" w:rsidRPr="008A1360" w:rsidRDefault="008A1360" w:rsidP="008A1360">
      <w:pPr>
        <w:pStyle w:val="12"/>
        <w:rPr>
          <w:rFonts w:asciiTheme="minorBidi" w:hAnsiTheme="minorBidi" w:cstheme="minorBidi"/>
          <w:b/>
          <w:bCs/>
          <w:rtl/>
        </w:rPr>
      </w:pPr>
      <w:r w:rsidRPr="008A1360">
        <w:rPr>
          <w:rFonts w:asciiTheme="minorBidi" w:hAnsiTheme="minorBidi" w:cstheme="minorBidi"/>
          <w:b/>
          <w:bCs/>
          <w:rtl/>
        </w:rPr>
        <w:t>ברם, בימי עזרא ונחמיה שרר מצב הפוך. הבית השני כבר נחנך בימי זרובבל, לקראת הפסח של שנת שש לדריוש (עזרא ו', טו-כב). לאחר כישלון העלייה הראשונה, היעלמות זרובבל ובית דוד, גניזת הנבואה וחתימתה, חוללה עליית עזרא תהליך חדש לגמרי של העמדת לימוד התורה במרכז החיים היהודיים. משמעות המעמד שעזרא במרכזו עולה בבירור מהשוואת הפסוקים העוסקים בחודש השביעי בעליית זרובבל (עזרא ב', ע - ג', ז), לתיאור החודש השביעי בימי עזרא ונחמיה (נחמיה ז', עב - ח', יח). מדובר כאן בהתחלה דתית חדשה, אשר מתעלמת בכוונה מעבודת המקדש שממשיכה את העלייה הקודמת. חז"ל קראו להתחלה זו בשם 'קדושה שנייה' ותלו אותה בעזרא, ובשום מקום לא בזרובבל. המעמד של עזרא ונחמיה מתמקד בקריאת התורה ובקיום המצוות ומתעלם מעבודת המקדש, ולכן מתעלם גם מיום הכיפורים שעיקרו במקדש, ושכולו פונה לעבר, כיום החיתום של השנה וכיום הכפרה על חטאיה. ישנה סתירה מובהקת בין עבודת יום הכיפורים, שבמרכזה ודאי עמד אלישיב הכוהן הגדול, לבין יריבו המובהק עזרא הכוהן-הסופר, אשר פתח דרך תורנית חדשה בחודש השביעי, תוך התעלמות מוחלטת מן הדרך הקודמת, אשר הגיעה אלי משבר. קל לראות את ההבדל בתיאור ימי חג הסוכות בעליית זרובבל עם תחילת ההקרבה, "ויעשו את חג הסֻכות ככתוב ועֹלת יום ביום במספר כמשפט דבר יום ביומו (עזרא ג', ד) – לבין התיאור בימי עזרא, "ויקרא בספר תורת האלהים יום ביום מן היום הראשון עד היום האחרון ויעשו חג שבעת ימים וביום השמיני עצרת כמשפט" (נחמיה ח', יח). בעליית זרובבל הקרבנות הם העיקר, ואילו בימי עזרא העיקר הוא קריאת התורה.</w:t>
      </w:r>
    </w:p>
    <w:p w:rsidR="008A1360" w:rsidRPr="008A1360" w:rsidRDefault="008A1360" w:rsidP="008A1360">
      <w:pPr>
        <w:pStyle w:val="12"/>
        <w:rPr>
          <w:rFonts w:asciiTheme="minorBidi" w:hAnsiTheme="minorBidi" w:cstheme="minorBidi"/>
          <w:b/>
          <w:bCs/>
          <w:rtl/>
        </w:rPr>
      </w:pPr>
      <w:r w:rsidRPr="008A1360">
        <w:rPr>
          <w:rFonts w:asciiTheme="minorBidi" w:hAnsiTheme="minorBidi" w:cstheme="minorBidi"/>
          <w:b/>
          <w:bCs/>
          <w:rtl/>
        </w:rPr>
        <w:t>הבנת משמעותו של יום הכיפורים כחותם את שנת החמה החולפת מסבירה היטב הן את ביטולו ההכרחי בימי שלמה והמרתו בשבעת הימים של חנוכת הבית, הן את העלמתו מן הפתיחה המחודשת של קריאת התורה ושל קיום מצוותיה בחודש השביעי בימי עזרא ונחמיה.</w:t>
      </w:r>
    </w:p>
    <w:p w:rsidR="008A09C7" w:rsidRPr="002C6308" w:rsidRDefault="008A09C7" w:rsidP="008A09C7">
      <w:pPr>
        <w:pStyle w:val="12"/>
        <w:ind w:firstLine="0"/>
        <w:rPr>
          <w:rtl/>
        </w:rPr>
      </w:pPr>
    </w:p>
    <w:p w:rsidR="008A09C7" w:rsidRPr="008A09C7" w:rsidRDefault="008A09C7" w:rsidP="000A5D7A">
      <w:pPr>
        <w:tabs>
          <w:tab w:val="left" w:pos="3784"/>
          <w:tab w:val="center" w:pos="5102"/>
        </w:tabs>
        <w:spacing w:after="0" w:line="240" w:lineRule="auto"/>
        <w:jc w:val="center"/>
        <w:rPr>
          <w:rFonts w:ascii="Narkisim" w:hAnsi="Narkisim" w:cs="Narkisim"/>
          <w:b/>
          <w:bCs/>
          <w:sz w:val="32"/>
          <w:szCs w:val="32"/>
          <w:rtl/>
        </w:rPr>
      </w:pPr>
    </w:p>
    <w:p w:rsidR="009E0DAB" w:rsidRPr="00276A34" w:rsidRDefault="009E0DAB" w:rsidP="009E0DAB">
      <w:pPr>
        <w:tabs>
          <w:tab w:val="left" w:pos="3784"/>
          <w:tab w:val="center" w:pos="5102"/>
        </w:tabs>
        <w:spacing w:after="0" w:line="240" w:lineRule="auto"/>
        <w:rPr>
          <w:rFonts w:ascii="Narkisim" w:hAnsi="Narkisim" w:cs="Narkisim"/>
          <w:b/>
          <w:bCs/>
        </w:rPr>
      </w:pPr>
    </w:p>
    <w:p w:rsidR="00222828" w:rsidRPr="00276A34" w:rsidRDefault="00222828" w:rsidP="00222828">
      <w:pPr>
        <w:spacing w:line="276" w:lineRule="auto"/>
        <w:rPr>
          <w:rFonts w:ascii="Narkisim" w:hAnsi="Narkisim" w:cs="Narkisim"/>
          <w:rtl/>
        </w:rPr>
      </w:pPr>
    </w:p>
    <w:p w:rsidR="006F4612" w:rsidRDefault="006F4612">
      <w:pPr>
        <w:bidi w:val="0"/>
        <w:rPr>
          <w:rFonts w:ascii="Narkisim" w:hAnsi="Narkisim" w:cs="Narkisim"/>
          <w:rtl/>
        </w:rPr>
      </w:pPr>
      <w:bookmarkStart w:id="0" w:name="_GoBack"/>
      <w:bookmarkEnd w:id="0"/>
    </w:p>
    <w:p w:rsidR="000A5D7A" w:rsidRPr="007A2DA7" w:rsidRDefault="000A5D7A" w:rsidP="00222828">
      <w:pPr>
        <w:spacing w:line="276" w:lineRule="auto"/>
        <w:rPr>
          <w:rFonts w:ascii="Narkisim" w:hAnsi="Narkisim" w:cs="Narkisim"/>
        </w:rPr>
      </w:pPr>
    </w:p>
    <w:sectPr w:rsidR="000A5D7A" w:rsidRPr="007A2DA7" w:rsidSect="00691576">
      <w:headerReference w:type="default" r:id="rId7"/>
      <w:pgSz w:w="11906" w:h="16838" w:code="9"/>
      <w:pgMar w:top="1247" w:right="851" w:bottom="1134"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998" w:rsidRDefault="006E5998" w:rsidP="00086C30">
      <w:pPr>
        <w:spacing w:after="0" w:line="240" w:lineRule="auto"/>
      </w:pPr>
      <w:r>
        <w:separator/>
      </w:r>
    </w:p>
  </w:endnote>
  <w:endnote w:type="continuationSeparator" w:id="1">
    <w:p w:rsidR="006E5998" w:rsidRDefault="006E5998" w:rsidP="00086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Ruehl">
    <w:panose1 w:val="020E050306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998" w:rsidRDefault="006E5998" w:rsidP="00086C30">
      <w:pPr>
        <w:spacing w:after="0" w:line="240" w:lineRule="auto"/>
      </w:pPr>
      <w:r>
        <w:separator/>
      </w:r>
    </w:p>
  </w:footnote>
  <w:footnote w:type="continuationSeparator" w:id="1">
    <w:p w:rsidR="006E5998" w:rsidRDefault="006E5998" w:rsidP="00086C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A7" w:rsidRDefault="007A2DA7">
    <w:pPr>
      <w:pStyle w:val="a4"/>
    </w:pPr>
    <w:r>
      <w:rPr>
        <w:noProof/>
      </w:rPr>
      <w:drawing>
        <wp:anchor distT="0" distB="0" distL="114300" distR="114300" simplePos="0" relativeHeight="251658240" behindDoc="1" locked="0" layoutInCell="1" allowOverlap="1">
          <wp:simplePos x="0" y="0"/>
          <wp:positionH relativeFrom="column">
            <wp:posOffset>-508000</wp:posOffset>
          </wp:positionH>
          <wp:positionV relativeFrom="paragraph">
            <wp:posOffset>-450215</wp:posOffset>
          </wp:positionV>
          <wp:extent cx="7496220" cy="10602259"/>
          <wp:effectExtent l="0" t="0" r="0" b="889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3813" cy="1061299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11266"/>
  </w:hdrShapeDefaults>
  <w:footnotePr>
    <w:footnote w:id="0"/>
    <w:footnote w:id="1"/>
  </w:footnotePr>
  <w:endnotePr>
    <w:endnote w:id="0"/>
    <w:endnote w:id="1"/>
  </w:endnotePr>
  <w:compat/>
  <w:rsids>
    <w:rsidRoot w:val="00086C30"/>
    <w:rsid w:val="00034B77"/>
    <w:rsid w:val="00086C30"/>
    <w:rsid w:val="0009519E"/>
    <w:rsid w:val="000A5D7A"/>
    <w:rsid w:val="000C35E2"/>
    <w:rsid w:val="000D1CA1"/>
    <w:rsid w:val="00100D54"/>
    <w:rsid w:val="00160C0F"/>
    <w:rsid w:val="00163A4F"/>
    <w:rsid w:val="001D07C0"/>
    <w:rsid w:val="00222828"/>
    <w:rsid w:val="00276A34"/>
    <w:rsid w:val="002835AC"/>
    <w:rsid w:val="002E7A6C"/>
    <w:rsid w:val="003B623E"/>
    <w:rsid w:val="003D3814"/>
    <w:rsid w:val="004B4AD2"/>
    <w:rsid w:val="004C2ECE"/>
    <w:rsid w:val="00556169"/>
    <w:rsid w:val="00641BAC"/>
    <w:rsid w:val="006874D2"/>
    <w:rsid w:val="00691576"/>
    <w:rsid w:val="006C40B5"/>
    <w:rsid w:val="006E5998"/>
    <w:rsid w:val="006F4612"/>
    <w:rsid w:val="00772275"/>
    <w:rsid w:val="00784AC3"/>
    <w:rsid w:val="007A2DA7"/>
    <w:rsid w:val="007C4920"/>
    <w:rsid w:val="00812621"/>
    <w:rsid w:val="008A09C7"/>
    <w:rsid w:val="008A1360"/>
    <w:rsid w:val="009142F6"/>
    <w:rsid w:val="009A0D37"/>
    <w:rsid w:val="009E0DAB"/>
    <w:rsid w:val="00A31C04"/>
    <w:rsid w:val="00A40890"/>
    <w:rsid w:val="00A4135E"/>
    <w:rsid w:val="00A9015C"/>
    <w:rsid w:val="00AA1347"/>
    <w:rsid w:val="00AF61F2"/>
    <w:rsid w:val="00B01421"/>
    <w:rsid w:val="00CB2E79"/>
    <w:rsid w:val="00CB65D5"/>
    <w:rsid w:val="00CB6E78"/>
    <w:rsid w:val="00CF54C6"/>
    <w:rsid w:val="00DD19AA"/>
    <w:rsid w:val="00E11D4D"/>
    <w:rsid w:val="00E40240"/>
    <w:rsid w:val="00E81210"/>
    <w:rsid w:val="00E86232"/>
    <w:rsid w:val="00EB58C9"/>
    <w:rsid w:val="00F20930"/>
    <w:rsid w:val="00F21D2D"/>
    <w:rsid w:val="00FD282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37"/>
    <w:pPr>
      <w:bidi/>
    </w:pPr>
  </w:style>
  <w:style w:type="paragraph" w:styleId="1">
    <w:name w:val="heading 1"/>
    <w:basedOn w:val="a"/>
    <w:next w:val="a"/>
    <w:link w:val="10"/>
    <w:uiPriority w:val="9"/>
    <w:qFormat/>
    <w:rsid w:val="009A0D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D3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9A0D37"/>
    <w:pPr>
      <w:ind w:left="720"/>
      <w:contextualSpacing/>
    </w:pPr>
  </w:style>
  <w:style w:type="paragraph" w:styleId="a4">
    <w:name w:val="header"/>
    <w:basedOn w:val="a"/>
    <w:link w:val="a5"/>
    <w:uiPriority w:val="99"/>
    <w:unhideWhenUsed/>
    <w:rsid w:val="00086C30"/>
    <w:pPr>
      <w:tabs>
        <w:tab w:val="center" w:pos="4153"/>
        <w:tab w:val="right" w:pos="8306"/>
      </w:tabs>
      <w:spacing w:after="0" w:line="240" w:lineRule="auto"/>
    </w:pPr>
  </w:style>
  <w:style w:type="character" w:customStyle="1" w:styleId="a5">
    <w:name w:val="כותרת עליונה תו"/>
    <w:basedOn w:val="a0"/>
    <w:link w:val="a4"/>
    <w:uiPriority w:val="99"/>
    <w:rsid w:val="00086C30"/>
  </w:style>
  <w:style w:type="paragraph" w:styleId="a6">
    <w:name w:val="footer"/>
    <w:basedOn w:val="a"/>
    <w:link w:val="a7"/>
    <w:uiPriority w:val="99"/>
    <w:unhideWhenUsed/>
    <w:rsid w:val="00086C30"/>
    <w:pPr>
      <w:tabs>
        <w:tab w:val="center" w:pos="4153"/>
        <w:tab w:val="right" w:pos="8306"/>
      </w:tabs>
      <w:spacing w:after="0" w:line="240" w:lineRule="auto"/>
    </w:pPr>
  </w:style>
  <w:style w:type="character" w:customStyle="1" w:styleId="a7">
    <w:name w:val="כותרת תחתונה תו"/>
    <w:basedOn w:val="a0"/>
    <w:link w:val="a6"/>
    <w:uiPriority w:val="99"/>
    <w:rsid w:val="00086C30"/>
  </w:style>
  <w:style w:type="paragraph" w:styleId="a8">
    <w:name w:val="Balloon Text"/>
    <w:basedOn w:val="a"/>
    <w:link w:val="a9"/>
    <w:uiPriority w:val="99"/>
    <w:semiHidden/>
    <w:unhideWhenUsed/>
    <w:rsid w:val="00086C3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86C30"/>
    <w:rPr>
      <w:rFonts w:ascii="Tahoma" w:hAnsi="Tahoma" w:cs="Tahoma"/>
      <w:sz w:val="16"/>
      <w:szCs w:val="16"/>
    </w:rPr>
  </w:style>
  <w:style w:type="paragraph" w:styleId="aa">
    <w:name w:val="Title"/>
    <w:basedOn w:val="a"/>
    <w:next w:val="a"/>
    <w:link w:val="ab"/>
    <w:uiPriority w:val="10"/>
    <w:qFormat/>
    <w:rsid w:val="004C2E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b">
    <w:name w:val="תואר תו"/>
    <w:basedOn w:val="a0"/>
    <w:link w:val="aa"/>
    <w:uiPriority w:val="10"/>
    <w:rsid w:val="004C2ECE"/>
    <w:rPr>
      <w:rFonts w:ascii="Cambria" w:eastAsia="Times New Roman" w:hAnsi="Cambria" w:cs="Times New Roman"/>
      <w:b/>
      <w:bCs/>
      <w:kern w:val="28"/>
      <w:sz w:val="32"/>
      <w:szCs w:val="32"/>
    </w:rPr>
  </w:style>
  <w:style w:type="character" w:styleId="Hyperlink">
    <w:name w:val="Hyperlink"/>
    <w:basedOn w:val="a0"/>
    <w:uiPriority w:val="99"/>
    <w:unhideWhenUsed/>
    <w:rsid w:val="00222828"/>
    <w:rPr>
      <w:color w:val="0000FF"/>
      <w:u w:val="single"/>
    </w:rPr>
  </w:style>
  <w:style w:type="paragraph" w:styleId="ac">
    <w:name w:val="footnote text"/>
    <w:aliases w:val="טקסט הערות שוליים תו,הערות שוליים דוקטורט"/>
    <w:basedOn w:val="a"/>
    <w:link w:val="ad"/>
    <w:uiPriority w:val="99"/>
    <w:rsid w:val="008A09C7"/>
    <w:pPr>
      <w:spacing w:after="0" w:line="264" w:lineRule="exact"/>
      <w:jc w:val="both"/>
    </w:pPr>
    <w:rPr>
      <w:rFonts w:ascii="Times New Roman" w:eastAsia="Times New Roman" w:hAnsi="Times New Roman" w:cs="Times New Roman"/>
      <w:sz w:val="20"/>
      <w:szCs w:val="20"/>
    </w:rPr>
  </w:style>
  <w:style w:type="character" w:customStyle="1" w:styleId="ad">
    <w:name w:val="טקסט הערת שוליים תו"/>
    <w:aliases w:val="טקסט הערות שוליים תו תו,הערות שוליים דוקטורט תו"/>
    <w:basedOn w:val="a0"/>
    <w:link w:val="ac"/>
    <w:uiPriority w:val="99"/>
    <w:rsid w:val="008A09C7"/>
    <w:rPr>
      <w:rFonts w:ascii="Times New Roman" w:eastAsia="Times New Roman" w:hAnsi="Times New Roman" w:cs="Times New Roman"/>
      <w:sz w:val="20"/>
      <w:szCs w:val="20"/>
    </w:rPr>
  </w:style>
  <w:style w:type="character" w:styleId="ae">
    <w:name w:val="footnote reference"/>
    <w:rsid w:val="008A09C7"/>
    <w:rPr>
      <w:vertAlign w:val="superscript"/>
    </w:rPr>
  </w:style>
  <w:style w:type="paragraph" w:customStyle="1" w:styleId="11">
    <w:name w:val="ציטוט1"/>
    <w:basedOn w:val="a"/>
    <w:link w:val="af"/>
    <w:autoRedefine/>
    <w:qFormat/>
    <w:rsid w:val="008A09C7"/>
    <w:pPr>
      <w:tabs>
        <w:tab w:val="right" w:pos="6861"/>
      </w:tabs>
      <w:spacing w:before="120" w:after="120" w:line="312" w:lineRule="exact"/>
      <w:ind w:left="567"/>
      <w:jc w:val="both"/>
    </w:pPr>
    <w:rPr>
      <w:rFonts w:ascii="Arial" w:eastAsia="Times New Roman" w:hAnsi="Arial" w:cs="FrankRuehl"/>
      <w:sz w:val="25"/>
      <w:szCs w:val="25"/>
    </w:rPr>
  </w:style>
  <w:style w:type="paragraph" w:customStyle="1" w:styleId="12">
    <w:name w:val="רגיל1"/>
    <w:basedOn w:val="a"/>
    <w:link w:val="af0"/>
    <w:qFormat/>
    <w:rsid w:val="008A09C7"/>
    <w:pPr>
      <w:tabs>
        <w:tab w:val="left" w:pos="335"/>
      </w:tabs>
      <w:overflowPunct w:val="0"/>
      <w:autoSpaceDE w:val="0"/>
      <w:autoSpaceDN w:val="0"/>
      <w:adjustRightInd w:val="0"/>
      <w:spacing w:after="0" w:line="312" w:lineRule="exact"/>
      <w:ind w:firstLine="340"/>
      <w:jc w:val="both"/>
      <w:textAlignment w:val="baseline"/>
    </w:pPr>
    <w:rPr>
      <w:rFonts w:ascii="Times New Roman" w:eastAsia="Times New Roman" w:hAnsi="Times New Roman" w:cs="FrankRuehl"/>
      <w:szCs w:val="25"/>
      <w:lang w:eastAsia="he-IL"/>
    </w:rPr>
  </w:style>
  <w:style w:type="character" w:customStyle="1" w:styleId="af">
    <w:name w:val="ציטוט תו"/>
    <w:link w:val="11"/>
    <w:rsid w:val="008A09C7"/>
    <w:rPr>
      <w:rFonts w:ascii="Arial" w:eastAsia="Times New Roman" w:hAnsi="Arial" w:cs="FrankRuehl"/>
      <w:sz w:val="25"/>
      <w:szCs w:val="25"/>
    </w:rPr>
  </w:style>
  <w:style w:type="character" w:customStyle="1" w:styleId="af0">
    <w:name w:val="רגיל תו"/>
    <w:link w:val="12"/>
    <w:rsid w:val="008A09C7"/>
    <w:rPr>
      <w:rFonts w:ascii="Times New Roman" w:eastAsia="Times New Roman" w:hAnsi="Times New Roman" w:cs="FrankRuehl"/>
      <w:szCs w:val="25"/>
      <w:lang w:eastAsia="he-IL"/>
    </w:rPr>
  </w:style>
  <w:style w:type="paragraph" w:styleId="af1">
    <w:name w:val="No Spacing"/>
    <w:basedOn w:val="a"/>
    <w:uiPriority w:val="1"/>
    <w:qFormat/>
    <w:rsid w:val="008A09C7"/>
    <w:pPr>
      <w:tabs>
        <w:tab w:val="left" w:pos="335"/>
      </w:tabs>
      <w:overflowPunct w:val="0"/>
      <w:autoSpaceDE w:val="0"/>
      <w:autoSpaceDN w:val="0"/>
      <w:adjustRightInd w:val="0"/>
      <w:spacing w:after="0" w:line="312" w:lineRule="exact"/>
      <w:jc w:val="both"/>
      <w:textAlignment w:val="baseline"/>
    </w:pPr>
    <w:rPr>
      <w:rFonts w:ascii="Times New Roman" w:eastAsia="Times New Roman" w:hAnsi="Times New Roman" w:cs="FrankRuehl"/>
      <w:szCs w:val="25"/>
      <w:lang w:eastAsia="he-IL"/>
    </w:rPr>
  </w:style>
  <w:style w:type="paragraph" w:customStyle="1" w:styleId="13">
    <w:name w:val="כותרת ראשית1"/>
    <w:basedOn w:val="a"/>
    <w:link w:val="14"/>
    <w:qFormat/>
    <w:rsid w:val="006874D2"/>
    <w:pPr>
      <w:tabs>
        <w:tab w:val="left" w:pos="357"/>
        <w:tab w:val="left" w:pos="720"/>
        <w:tab w:val="left" w:pos="1077"/>
        <w:tab w:val="left" w:pos="1435"/>
        <w:tab w:val="left" w:pos="1797"/>
        <w:tab w:val="left" w:pos="2155"/>
      </w:tabs>
      <w:spacing w:after="120" w:line="312" w:lineRule="exact"/>
      <w:jc w:val="center"/>
    </w:pPr>
    <w:rPr>
      <w:rFonts w:ascii="Times New Roman" w:eastAsia="Times New Roman" w:hAnsi="Times New Roman" w:cs="Times New Roman"/>
      <w:b/>
      <w:bCs/>
      <w:sz w:val="33"/>
      <w:szCs w:val="33"/>
    </w:rPr>
  </w:style>
  <w:style w:type="character" w:customStyle="1" w:styleId="14">
    <w:name w:val="כותרת ראשית1 תו"/>
    <w:link w:val="13"/>
    <w:rsid w:val="006874D2"/>
    <w:rPr>
      <w:rFonts w:ascii="Times New Roman" w:eastAsia="Times New Roman" w:hAnsi="Times New Roman" w:cs="Times New Roman"/>
      <w:b/>
      <w:bCs/>
      <w:sz w:val="33"/>
      <w:szCs w:val="33"/>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DE92-1FE9-4D99-85CD-E1163FFA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1877</Words>
  <Characters>9385</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אלחנן קלמנזון</dc:creator>
  <cp:lastModifiedBy>user</cp:lastModifiedBy>
  <cp:revision>2</cp:revision>
  <cp:lastPrinted>2016-05-25T10:09:00Z</cp:lastPrinted>
  <dcterms:created xsi:type="dcterms:W3CDTF">2016-06-23T21:26:00Z</dcterms:created>
  <dcterms:modified xsi:type="dcterms:W3CDTF">2016-06-23T21:26:00Z</dcterms:modified>
</cp:coreProperties>
</file>