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8C9" w:rsidRDefault="00EB58C9" w:rsidP="000A5D7A">
      <w:pPr>
        <w:tabs>
          <w:tab w:val="left" w:pos="3784"/>
          <w:tab w:val="center" w:pos="5102"/>
        </w:tabs>
        <w:spacing w:after="0" w:line="240" w:lineRule="auto"/>
        <w:jc w:val="center"/>
        <w:rPr>
          <w:rFonts w:ascii="Narkisim" w:hAnsi="Narkisim" w:cs="Narkisim"/>
          <w:b/>
          <w:bCs/>
          <w:sz w:val="32"/>
          <w:szCs w:val="32"/>
          <w:rtl/>
        </w:rPr>
      </w:pPr>
    </w:p>
    <w:p w:rsidR="00215683" w:rsidRPr="00223C88" w:rsidRDefault="00461972" w:rsidP="00215683">
      <w:pPr>
        <w:jc w:val="center"/>
        <w:rPr>
          <w:rFonts w:asciiTheme="minorBidi" w:hAnsiTheme="minorBidi"/>
          <w:b/>
          <w:bCs/>
          <w:sz w:val="24"/>
          <w:szCs w:val="24"/>
          <w:rtl/>
        </w:rPr>
      </w:pPr>
      <w:r>
        <w:rPr>
          <w:rFonts w:asciiTheme="minorBidi" w:hAnsiTheme="minorBidi" w:hint="cs"/>
          <w:b/>
          <w:bCs/>
          <w:sz w:val="24"/>
          <w:szCs w:val="24"/>
          <w:rtl/>
        </w:rPr>
        <w:t xml:space="preserve">הרב ד"ר </w:t>
      </w:r>
      <w:r w:rsidR="00215683" w:rsidRPr="00223C88">
        <w:rPr>
          <w:rFonts w:asciiTheme="minorBidi" w:hAnsiTheme="minorBidi"/>
          <w:b/>
          <w:bCs/>
          <w:sz w:val="24"/>
          <w:szCs w:val="24"/>
          <w:rtl/>
        </w:rPr>
        <w:t>יואל בן-נון</w:t>
      </w:r>
      <w:r w:rsidR="00215683">
        <w:rPr>
          <w:rFonts w:asciiTheme="minorBidi" w:hAnsiTheme="minorBidi" w:hint="cs"/>
          <w:b/>
          <w:bCs/>
          <w:sz w:val="24"/>
          <w:szCs w:val="24"/>
          <w:rtl/>
        </w:rPr>
        <w:t xml:space="preserve">     שיעור מספר 9</w:t>
      </w:r>
    </w:p>
    <w:p w:rsidR="00215683" w:rsidRDefault="00215683" w:rsidP="00215683">
      <w:pPr>
        <w:jc w:val="center"/>
        <w:rPr>
          <w:rFonts w:asciiTheme="minorBidi" w:hAnsiTheme="minorBidi"/>
          <w:b/>
          <w:bCs/>
          <w:sz w:val="32"/>
          <w:szCs w:val="32"/>
          <w:rtl/>
        </w:rPr>
      </w:pPr>
      <w:r w:rsidRPr="00223C88">
        <w:rPr>
          <w:rFonts w:asciiTheme="minorBidi" w:hAnsiTheme="minorBidi"/>
          <w:b/>
          <w:bCs/>
          <w:sz w:val="32"/>
          <w:szCs w:val="32"/>
          <w:rtl/>
        </w:rPr>
        <w:t xml:space="preserve">משפטי התורה מול דיני </w:t>
      </w:r>
      <w:r>
        <w:rPr>
          <w:rFonts w:asciiTheme="minorBidi" w:hAnsiTheme="minorBidi" w:hint="cs"/>
          <w:b/>
          <w:bCs/>
          <w:sz w:val="32"/>
          <w:szCs w:val="32"/>
          <w:rtl/>
        </w:rPr>
        <w:t>האבות</w:t>
      </w:r>
    </w:p>
    <w:p w:rsidR="00215683" w:rsidRPr="00223C88" w:rsidRDefault="00215683" w:rsidP="00215683">
      <w:pPr>
        <w:jc w:val="center"/>
        <w:rPr>
          <w:rFonts w:asciiTheme="minorBidi" w:hAnsiTheme="minorBidi"/>
          <w:b/>
          <w:bCs/>
          <w:sz w:val="32"/>
          <w:szCs w:val="32"/>
          <w:rtl/>
        </w:rPr>
      </w:pPr>
      <w:r w:rsidRPr="00223C88">
        <w:rPr>
          <w:rFonts w:asciiTheme="minorBidi" w:hAnsiTheme="minorBidi"/>
          <w:b/>
          <w:bCs/>
          <w:sz w:val="32"/>
          <w:szCs w:val="32"/>
          <w:rtl/>
        </w:rPr>
        <w:t>קטעים מתוך: מקראות לפרשת משפטים</w:t>
      </w:r>
    </w:p>
    <w:p w:rsidR="00215683" w:rsidRDefault="00215683" w:rsidP="00215683">
      <w:pPr>
        <w:jc w:val="both"/>
        <w:rPr>
          <w:b/>
          <w:bCs/>
          <w:sz w:val="24"/>
          <w:szCs w:val="24"/>
          <w:rtl/>
        </w:rPr>
      </w:pPr>
      <w:r w:rsidRPr="00223C88">
        <w:rPr>
          <w:rFonts w:hint="cs"/>
          <w:sz w:val="24"/>
          <w:szCs w:val="24"/>
          <w:rtl/>
        </w:rPr>
        <w:t>מצאנו בספר בראשית את יעקב אבינו כשומר צאנו של לבן, תחילה בחינם, ואחר כך בשכר</w:t>
      </w:r>
      <w:r>
        <w:rPr>
          <w:rStyle w:val="ae"/>
          <w:sz w:val="24"/>
          <w:szCs w:val="24"/>
          <w:rtl/>
        </w:rPr>
        <w:footnoteReference w:id="2"/>
      </w:r>
      <w:r w:rsidRPr="00223C88">
        <w:rPr>
          <w:sz w:val="24"/>
          <w:szCs w:val="24"/>
          <w:rtl/>
        </w:rPr>
        <w:t>–</w:t>
      </w:r>
      <w:r w:rsidRPr="00223C88">
        <w:rPr>
          <w:rFonts w:hint="cs"/>
          <w:sz w:val="24"/>
          <w:szCs w:val="24"/>
          <w:rtl/>
        </w:rPr>
        <w:t xml:space="preserve"> "</w:t>
      </w:r>
      <w:r>
        <w:rPr>
          <w:rFonts w:hint="cs"/>
          <w:b/>
          <w:bCs/>
          <w:sz w:val="24"/>
          <w:szCs w:val="24"/>
          <w:rtl/>
        </w:rPr>
        <w:t>הכי אחי אתה, ועבדתני חִנָּם ? הגידה לי מה מַשׂכֻּרתֶּךָ</w:t>
      </w:r>
      <w:r w:rsidRPr="00223C88">
        <w:rPr>
          <w:rFonts w:hint="cs"/>
          <w:sz w:val="24"/>
          <w:szCs w:val="24"/>
          <w:rtl/>
        </w:rPr>
        <w:t>" (בראשית כ"ט טו).</w:t>
      </w:r>
    </w:p>
    <w:p w:rsidR="00215683" w:rsidRDefault="00215683" w:rsidP="00215683">
      <w:pPr>
        <w:jc w:val="both"/>
        <w:rPr>
          <w:b/>
          <w:bCs/>
          <w:sz w:val="24"/>
          <w:szCs w:val="24"/>
          <w:rtl/>
        </w:rPr>
      </w:pPr>
      <w:r w:rsidRPr="00364D20">
        <w:rPr>
          <w:rFonts w:hint="cs"/>
          <w:sz w:val="24"/>
          <w:szCs w:val="24"/>
          <w:rtl/>
        </w:rPr>
        <w:t xml:space="preserve">בסיכומו הכואב והפגוע לעשרים שנה של שמירה בצאן לבן, אמר יעקב </w:t>
      </w:r>
      <w:r w:rsidRPr="00364D20">
        <w:rPr>
          <w:sz w:val="24"/>
          <w:szCs w:val="24"/>
          <w:rtl/>
        </w:rPr>
        <w:t>–</w:t>
      </w:r>
      <w:r w:rsidRPr="00364D20">
        <w:rPr>
          <w:rFonts w:hint="cs"/>
          <w:sz w:val="24"/>
          <w:szCs w:val="24"/>
          <w:rtl/>
        </w:rPr>
        <w:t xml:space="preserve"> "</w:t>
      </w:r>
      <w:r>
        <w:rPr>
          <w:rFonts w:hint="cs"/>
          <w:b/>
          <w:bCs/>
          <w:sz w:val="24"/>
          <w:szCs w:val="24"/>
          <w:rtl/>
        </w:rPr>
        <w:t>מה פִּשעי מה חַטָּאתי ...? כי מִשַּשתָּ את כל כֵּלַי, מה מצאת מכל כלי ביתך? שׂים כֹּה נגד אַחַי ואַחֶיךָ, ויוכיחו בין שנינו. זה עשרים שנה אנֹכי עמך, רחֵלֶיך ועִזיך לא שִכֵּלוּ, ואילי צאנך לא אכלתי. טרֵפה לא הבאתי אליך, אנֹכי אֲחַטֶּנָּה, מִיָּדי תבקשנה, גנֻבתי יום וגנֻבתי לילה</w:t>
      </w:r>
      <w:r w:rsidRPr="00B538E1">
        <w:rPr>
          <w:rFonts w:hint="cs"/>
          <w:sz w:val="24"/>
          <w:szCs w:val="24"/>
          <w:rtl/>
        </w:rPr>
        <w:t>" (בראשית ל"א לו-</w:t>
      </w:r>
      <w:r>
        <w:rPr>
          <w:rFonts w:hint="cs"/>
          <w:sz w:val="24"/>
          <w:szCs w:val="24"/>
          <w:rtl/>
        </w:rPr>
        <w:t>לט</w:t>
      </w:r>
      <w:r w:rsidRPr="00B538E1">
        <w:rPr>
          <w:rFonts w:hint="cs"/>
          <w:sz w:val="24"/>
          <w:szCs w:val="24"/>
          <w:rtl/>
        </w:rPr>
        <w:t>).</w:t>
      </w:r>
    </w:p>
    <w:p w:rsidR="00215683" w:rsidRDefault="00215683" w:rsidP="00215683">
      <w:pPr>
        <w:jc w:val="both"/>
        <w:rPr>
          <w:b/>
          <w:bCs/>
          <w:sz w:val="24"/>
          <w:szCs w:val="24"/>
          <w:rtl/>
        </w:rPr>
      </w:pPr>
      <w:r w:rsidRPr="00CF0A80">
        <w:rPr>
          <w:rFonts w:hint="cs"/>
          <w:sz w:val="24"/>
          <w:szCs w:val="24"/>
          <w:rtl/>
        </w:rPr>
        <w:t xml:space="preserve">ברור, שהמשפט הנוהג בחרן חייב את השומר בשכר לשלם על גניבה, ופטר אותו מבהמות שמתו באונס, בדיוק כמשפט השומר בהמות ב'משפטים' </w:t>
      </w:r>
      <w:r w:rsidRPr="00B538E1">
        <w:rPr>
          <w:rFonts w:hint="cs"/>
          <w:sz w:val="24"/>
          <w:szCs w:val="24"/>
          <w:rtl/>
        </w:rPr>
        <w:t xml:space="preserve">(שמות כ"ב ט-יב) </w:t>
      </w:r>
      <w:r w:rsidRPr="00B538E1">
        <w:rPr>
          <w:sz w:val="24"/>
          <w:szCs w:val="24"/>
          <w:rtl/>
        </w:rPr>
        <w:t>–</w:t>
      </w:r>
      <w:r w:rsidRPr="00B538E1">
        <w:rPr>
          <w:rFonts w:hint="cs"/>
          <w:sz w:val="24"/>
          <w:szCs w:val="24"/>
          <w:rtl/>
        </w:rPr>
        <w:t xml:space="preserve"> "</w:t>
      </w:r>
      <w:r>
        <w:rPr>
          <w:rFonts w:hint="cs"/>
          <w:b/>
          <w:bCs/>
          <w:sz w:val="24"/>
          <w:szCs w:val="24"/>
          <w:rtl/>
        </w:rPr>
        <w:t xml:space="preserve">כי יתן איש אל רעהו חמור או שור או שה וכל בהמה לשמֹר </w:t>
      </w:r>
      <w:r>
        <w:rPr>
          <w:b/>
          <w:bCs/>
          <w:sz w:val="24"/>
          <w:szCs w:val="24"/>
          <w:rtl/>
        </w:rPr>
        <w:t>–</w:t>
      </w:r>
      <w:r>
        <w:rPr>
          <w:rFonts w:hint="cs"/>
          <w:b/>
          <w:bCs/>
          <w:sz w:val="24"/>
          <w:szCs w:val="24"/>
          <w:rtl/>
        </w:rPr>
        <w:t xml:space="preserve"> ומת או נשבר או נִשבָּה, אין רֹאֶה. שבֻעת ה' תהיה בין שניהם, אם לא שלח ידו במלאכת רעהו </w:t>
      </w:r>
      <w:r>
        <w:rPr>
          <w:b/>
          <w:bCs/>
          <w:sz w:val="24"/>
          <w:szCs w:val="24"/>
          <w:rtl/>
        </w:rPr>
        <w:t>–</w:t>
      </w:r>
      <w:r>
        <w:rPr>
          <w:rFonts w:hint="cs"/>
          <w:b/>
          <w:bCs/>
          <w:sz w:val="24"/>
          <w:szCs w:val="24"/>
          <w:rtl/>
        </w:rPr>
        <w:t xml:space="preserve"> ולקח בעליו ולא ישלם, ואם גָנֹב יִגָּנֵב מֵעִמּוֹ, ישלם לבעליו. אם </w:t>
      </w:r>
      <w:r w:rsidRPr="00B538E1">
        <w:rPr>
          <w:rFonts w:hint="cs"/>
          <w:b/>
          <w:bCs/>
          <w:sz w:val="24"/>
          <w:szCs w:val="24"/>
          <w:rtl/>
        </w:rPr>
        <w:t xml:space="preserve">טָרֹף יִטָּרֵף, יְבִאֵהו </w:t>
      </w:r>
      <w:r w:rsidRPr="00B255BD">
        <w:rPr>
          <w:rFonts w:hint="cs"/>
          <w:b/>
          <w:bCs/>
          <w:sz w:val="24"/>
          <w:szCs w:val="24"/>
          <w:rtl/>
        </w:rPr>
        <w:t xml:space="preserve">עֵד </w:t>
      </w:r>
      <w:r w:rsidRPr="00B255BD">
        <w:rPr>
          <w:b/>
          <w:bCs/>
          <w:sz w:val="24"/>
          <w:szCs w:val="24"/>
          <w:rtl/>
        </w:rPr>
        <w:t>–</w:t>
      </w:r>
      <w:r w:rsidRPr="00B538E1">
        <w:rPr>
          <w:rFonts w:hint="cs"/>
          <w:b/>
          <w:bCs/>
          <w:sz w:val="24"/>
          <w:szCs w:val="24"/>
          <w:rtl/>
        </w:rPr>
        <w:t>הטרֵפה</w:t>
      </w:r>
      <w:r w:rsidRPr="00B255BD">
        <w:rPr>
          <w:rFonts w:hint="cs"/>
          <w:b/>
          <w:bCs/>
          <w:sz w:val="24"/>
          <w:szCs w:val="24"/>
          <w:rtl/>
        </w:rPr>
        <w:t xml:space="preserve"> לא ישלם</w:t>
      </w:r>
      <w:r>
        <w:rPr>
          <w:rFonts w:hint="cs"/>
          <w:b/>
          <w:bCs/>
          <w:sz w:val="24"/>
          <w:szCs w:val="24"/>
          <w:rtl/>
        </w:rPr>
        <w:t xml:space="preserve">".    </w:t>
      </w:r>
    </w:p>
    <w:p w:rsidR="00215683" w:rsidRPr="00CF0A80" w:rsidRDefault="00215683" w:rsidP="00215683">
      <w:pPr>
        <w:jc w:val="both"/>
        <w:rPr>
          <w:sz w:val="24"/>
          <w:szCs w:val="24"/>
          <w:rtl/>
        </w:rPr>
      </w:pPr>
      <w:r w:rsidRPr="00CF0A80">
        <w:rPr>
          <w:rFonts w:hint="cs"/>
          <w:sz w:val="24"/>
          <w:szCs w:val="24"/>
          <w:rtl/>
        </w:rPr>
        <w:t xml:space="preserve">ההקבלה הברורה ביותר היא בדין הטרֵפה </w:t>
      </w:r>
      <w:r w:rsidRPr="00CF0A80">
        <w:rPr>
          <w:sz w:val="24"/>
          <w:szCs w:val="24"/>
          <w:rtl/>
        </w:rPr>
        <w:t>–</w:t>
      </w:r>
      <w:r w:rsidRPr="00CF0A80">
        <w:rPr>
          <w:rFonts w:hint="cs"/>
          <w:sz w:val="24"/>
          <w:szCs w:val="24"/>
          <w:rtl/>
        </w:rPr>
        <w:t xml:space="preserve"> "</w:t>
      </w:r>
      <w:r w:rsidRPr="00CF0A80">
        <w:rPr>
          <w:rFonts w:hint="cs"/>
          <w:b/>
          <w:bCs/>
          <w:sz w:val="24"/>
          <w:szCs w:val="24"/>
          <w:rtl/>
        </w:rPr>
        <w:t>טרֵפה לא הבאתי אליך</w:t>
      </w:r>
      <w:r w:rsidRPr="00CF0A80">
        <w:rPr>
          <w:rFonts w:hint="cs"/>
          <w:sz w:val="24"/>
          <w:szCs w:val="24"/>
          <w:rtl/>
        </w:rPr>
        <w:t>", אף שזה היה פוטר את יעקב מלשלם, הוא שילם תמיד, ונשאר 'גָנוּב' ביום ובלילה.</w:t>
      </w:r>
    </w:p>
    <w:p w:rsidR="00215683" w:rsidRPr="00CF0A80" w:rsidRDefault="00215683" w:rsidP="00215683">
      <w:pPr>
        <w:jc w:val="both"/>
        <w:rPr>
          <w:sz w:val="24"/>
          <w:szCs w:val="24"/>
          <w:rtl/>
        </w:rPr>
      </w:pPr>
      <w:r w:rsidRPr="00CF0A80">
        <w:rPr>
          <w:rFonts w:hint="cs"/>
          <w:sz w:val="24"/>
          <w:szCs w:val="24"/>
          <w:rtl/>
        </w:rPr>
        <w:t>אכן, יש סברה לומר, שמשפטי השומרים שבתורה, נהגו כבר בימי האבות, בארצות מוצא האבות, ואף סוגיות התלמוד (כגון, בבא-מציעא צג ע"ב) מודעות להקבלות אלה.</w:t>
      </w:r>
    </w:p>
    <w:p w:rsidR="00215683" w:rsidRPr="00707721" w:rsidRDefault="00215683" w:rsidP="00215683">
      <w:pPr>
        <w:jc w:val="both"/>
        <w:rPr>
          <w:sz w:val="24"/>
          <w:szCs w:val="24"/>
          <w:rtl/>
        </w:rPr>
      </w:pPr>
      <w:r w:rsidRPr="00707721">
        <w:rPr>
          <w:rFonts w:hint="cs"/>
          <w:sz w:val="24"/>
          <w:szCs w:val="24"/>
          <w:rtl/>
        </w:rPr>
        <w:t xml:space="preserve">אולם אי אפשר לומר כך על העיקרון היסודי של משפט עבד ואמה, עקרון החופש, שהוא שונה לחלוטין מכל מה שנזכר בספר בראשית על עבדים ושפחות, שאינם יוצאים לחופשי, אלא מגורשים או משולחים כדי שלא יפגעו ביורשים הטבעיים. </w:t>
      </w:r>
    </w:p>
    <w:p w:rsidR="00215683" w:rsidRDefault="00215683" w:rsidP="00215683">
      <w:pPr>
        <w:jc w:val="both"/>
        <w:rPr>
          <w:b/>
          <w:bCs/>
          <w:sz w:val="24"/>
          <w:szCs w:val="24"/>
          <w:rtl/>
        </w:rPr>
      </w:pPr>
      <w:r>
        <w:rPr>
          <w:rFonts w:hint="cs"/>
          <w:b/>
          <w:bCs/>
          <w:sz w:val="24"/>
          <w:szCs w:val="24"/>
          <w:rtl/>
        </w:rPr>
        <w:t xml:space="preserve">"עבד אברהם" </w:t>
      </w:r>
      <w:r w:rsidRPr="00707721">
        <w:rPr>
          <w:rFonts w:hint="cs"/>
          <w:sz w:val="24"/>
          <w:szCs w:val="24"/>
          <w:rtl/>
        </w:rPr>
        <w:t>הוא</w:t>
      </w:r>
      <w:r>
        <w:rPr>
          <w:rFonts w:hint="cs"/>
          <w:b/>
          <w:bCs/>
          <w:sz w:val="24"/>
          <w:szCs w:val="24"/>
          <w:rtl/>
        </w:rPr>
        <w:t xml:space="preserve"> "עבדו זקן ביתו" </w:t>
      </w:r>
      <w:r w:rsidRPr="00707721">
        <w:rPr>
          <w:rFonts w:hint="cs"/>
          <w:sz w:val="24"/>
          <w:szCs w:val="24"/>
          <w:rtl/>
        </w:rPr>
        <w:t>(בראשית כ"ד ב/לד), הוא עבד קבוע, ואם לא היה לאברהם בן טבעי יכול היה</w:t>
      </w:r>
      <w:r>
        <w:rPr>
          <w:rFonts w:hint="cs"/>
          <w:b/>
          <w:bCs/>
          <w:sz w:val="24"/>
          <w:szCs w:val="24"/>
          <w:rtl/>
        </w:rPr>
        <w:t xml:space="preserve"> 'בן משק ביתו' </w:t>
      </w:r>
      <w:r w:rsidRPr="00707721">
        <w:rPr>
          <w:rFonts w:hint="cs"/>
          <w:sz w:val="24"/>
          <w:szCs w:val="24"/>
          <w:rtl/>
        </w:rPr>
        <w:t xml:space="preserve">להיות יורש (בראשית ט"ו ב-ג). נוהל משפטי כזה מוכר היטב בארצות מוצא האבות, אך ה' דחה אותו כליל בהבטחתו לאברהם, ואין לו שום מקום במשפטי תורת משה. </w:t>
      </w:r>
    </w:p>
    <w:p w:rsidR="00215683" w:rsidRDefault="00215683" w:rsidP="00215683">
      <w:pPr>
        <w:jc w:val="both"/>
        <w:rPr>
          <w:b/>
          <w:bCs/>
          <w:sz w:val="24"/>
          <w:szCs w:val="24"/>
          <w:rtl/>
        </w:rPr>
      </w:pPr>
      <w:r w:rsidRPr="00707721">
        <w:rPr>
          <w:rFonts w:hint="cs"/>
          <w:sz w:val="24"/>
          <w:szCs w:val="24"/>
          <w:rtl/>
        </w:rPr>
        <w:t>ברור אם כן, שיציאת עבד</w:t>
      </w:r>
      <w:r>
        <w:rPr>
          <w:rFonts w:hint="cs"/>
          <w:b/>
          <w:bCs/>
          <w:sz w:val="24"/>
          <w:szCs w:val="24"/>
          <w:rtl/>
        </w:rPr>
        <w:t xml:space="preserve"> "לַחפשי חִנָּם" </w:t>
      </w:r>
      <w:r w:rsidRPr="00707721">
        <w:rPr>
          <w:rFonts w:hint="cs"/>
          <w:sz w:val="24"/>
          <w:szCs w:val="24"/>
          <w:rtl/>
        </w:rPr>
        <w:t xml:space="preserve">אחרי שש שנים של עבדות, הוא חידוש שבא מכוח יציאת מצרים, ונובע במהותו מן הדיבור הראשון בעשרת הדברים </w:t>
      </w:r>
      <w:r w:rsidRPr="00707721">
        <w:rPr>
          <w:sz w:val="24"/>
          <w:szCs w:val="24"/>
          <w:rtl/>
        </w:rPr>
        <w:t>–</w:t>
      </w:r>
    </w:p>
    <w:p w:rsidR="00215683" w:rsidRDefault="00215683" w:rsidP="00215683">
      <w:pPr>
        <w:jc w:val="both"/>
        <w:rPr>
          <w:b/>
          <w:bCs/>
          <w:sz w:val="24"/>
          <w:szCs w:val="24"/>
          <w:rtl/>
        </w:rPr>
      </w:pPr>
      <w:r>
        <w:rPr>
          <w:rFonts w:hint="cs"/>
          <w:b/>
          <w:bCs/>
          <w:sz w:val="24"/>
          <w:szCs w:val="24"/>
          <w:rtl/>
        </w:rPr>
        <w:t xml:space="preserve">"אנֹכי ה' א-להיך אשר </w:t>
      </w:r>
      <w:r w:rsidRPr="00104B5B">
        <w:rPr>
          <w:rFonts w:hint="cs"/>
          <w:b/>
          <w:bCs/>
          <w:sz w:val="28"/>
          <w:szCs w:val="28"/>
          <w:rtl/>
        </w:rPr>
        <w:t>הוצאתיך</w:t>
      </w:r>
      <w:r>
        <w:rPr>
          <w:rFonts w:hint="cs"/>
          <w:b/>
          <w:bCs/>
          <w:sz w:val="24"/>
          <w:szCs w:val="24"/>
          <w:rtl/>
        </w:rPr>
        <w:t xml:space="preserve"> מארץ מצרים </w:t>
      </w:r>
      <w:r w:rsidRPr="00104B5B">
        <w:rPr>
          <w:rFonts w:hint="cs"/>
          <w:b/>
          <w:bCs/>
          <w:sz w:val="24"/>
          <w:szCs w:val="24"/>
          <w:u w:val="single"/>
          <w:rtl/>
        </w:rPr>
        <w:t>מבית עבדים</w:t>
      </w:r>
      <w:r>
        <w:rPr>
          <w:rFonts w:hint="cs"/>
          <w:b/>
          <w:bCs/>
          <w:sz w:val="24"/>
          <w:szCs w:val="24"/>
          <w:rtl/>
        </w:rPr>
        <w:t xml:space="preserve">" &gt; "כי תִקנה </w:t>
      </w:r>
      <w:r w:rsidRPr="00104B5B">
        <w:rPr>
          <w:rFonts w:hint="cs"/>
          <w:b/>
          <w:bCs/>
          <w:sz w:val="24"/>
          <w:szCs w:val="24"/>
          <w:u w:val="single"/>
          <w:rtl/>
        </w:rPr>
        <w:t>עבד עברי</w:t>
      </w:r>
      <w:r>
        <w:rPr>
          <w:rFonts w:hint="cs"/>
          <w:b/>
          <w:bCs/>
          <w:sz w:val="24"/>
          <w:szCs w:val="24"/>
          <w:rtl/>
        </w:rPr>
        <w:t xml:space="preserve">, שש שנים יעבֹד, ובַשבִעִת </w:t>
      </w:r>
      <w:r w:rsidRPr="00104B5B">
        <w:rPr>
          <w:rFonts w:hint="cs"/>
          <w:b/>
          <w:bCs/>
          <w:sz w:val="28"/>
          <w:szCs w:val="28"/>
          <w:rtl/>
        </w:rPr>
        <w:t>יֵצֵא</w:t>
      </w:r>
      <w:r>
        <w:rPr>
          <w:rFonts w:hint="cs"/>
          <w:b/>
          <w:bCs/>
          <w:sz w:val="24"/>
          <w:szCs w:val="24"/>
          <w:rtl/>
        </w:rPr>
        <w:t xml:space="preserve">לַחפשי חִנָּם. אם בגפו יבֹא, בגפו </w:t>
      </w:r>
      <w:r>
        <w:rPr>
          <w:rFonts w:hint="cs"/>
          <w:b/>
          <w:bCs/>
          <w:sz w:val="28"/>
          <w:szCs w:val="28"/>
          <w:rtl/>
        </w:rPr>
        <w:t>יֵצֵא</w:t>
      </w:r>
      <w:r>
        <w:rPr>
          <w:rFonts w:hint="cs"/>
          <w:b/>
          <w:bCs/>
          <w:sz w:val="24"/>
          <w:szCs w:val="24"/>
          <w:rtl/>
        </w:rPr>
        <w:t xml:space="preserve">, אם בעל אשה הוא, </w:t>
      </w:r>
      <w:r>
        <w:rPr>
          <w:rFonts w:hint="cs"/>
          <w:b/>
          <w:bCs/>
          <w:sz w:val="28"/>
          <w:szCs w:val="28"/>
          <w:rtl/>
        </w:rPr>
        <w:t>ויָצאה</w:t>
      </w:r>
      <w:r>
        <w:rPr>
          <w:rFonts w:hint="cs"/>
          <w:b/>
          <w:bCs/>
          <w:sz w:val="24"/>
          <w:szCs w:val="24"/>
          <w:rtl/>
        </w:rPr>
        <w:t xml:space="preserve"> אשתו עִמּוֹ". לשון 'יציאה' מודגשת מאד בפרשת 'עבד עברי', והיא מעידה על הקשר ליציאת מצרים, ולדיבור הראשון בעשרת הדברים.      </w:t>
      </w:r>
    </w:p>
    <w:p w:rsidR="00215683" w:rsidRPr="00707721" w:rsidRDefault="00215683" w:rsidP="00215683">
      <w:pPr>
        <w:jc w:val="both"/>
        <w:rPr>
          <w:sz w:val="24"/>
          <w:szCs w:val="24"/>
          <w:rtl/>
        </w:rPr>
      </w:pPr>
      <w:r w:rsidRPr="00707721">
        <w:rPr>
          <w:rFonts w:hint="cs"/>
          <w:sz w:val="24"/>
          <w:szCs w:val="24"/>
          <w:rtl/>
        </w:rPr>
        <w:t xml:space="preserve">והנה, דווקא במקום שבו </w:t>
      </w:r>
      <w:r w:rsidRPr="00707721">
        <w:rPr>
          <w:rFonts w:hint="cs"/>
          <w:sz w:val="24"/>
          <w:szCs w:val="24"/>
          <w:u w:val="single"/>
          <w:rtl/>
        </w:rPr>
        <w:t>נעצר עקרון החופש</w:t>
      </w:r>
      <w:r w:rsidRPr="00707721">
        <w:rPr>
          <w:rFonts w:hint="cs"/>
          <w:sz w:val="24"/>
          <w:szCs w:val="24"/>
          <w:rtl/>
        </w:rPr>
        <w:t xml:space="preserve"> במשפט העבד בתורה בפרשת 'משפטים', שם אנו מוצאים שוב את הזיקה לסיפור יעקב ולבן בספר בראשית </w:t>
      </w:r>
      <w:r w:rsidRPr="00707721">
        <w:rPr>
          <w:sz w:val="24"/>
          <w:szCs w:val="24"/>
          <w:rtl/>
        </w:rPr>
        <w:t>–</w:t>
      </w:r>
    </w:p>
    <w:p w:rsidR="00215683" w:rsidRDefault="00215683" w:rsidP="00215683">
      <w:pPr>
        <w:jc w:val="both"/>
        <w:rPr>
          <w:b/>
          <w:bCs/>
          <w:sz w:val="24"/>
          <w:szCs w:val="24"/>
          <w:rtl/>
        </w:rPr>
      </w:pPr>
      <w:r>
        <w:rPr>
          <w:rFonts w:hint="cs"/>
          <w:b/>
          <w:bCs/>
          <w:sz w:val="24"/>
          <w:szCs w:val="24"/>
          <w:rtl/>
        </w:rPr>
        <w:t xml:space="preserve">"אם אדֹניויתן לו אשה וילדה לו בנים או בנות, האשה וילדיה תהיה לאדֹניה, והוא יֵצֵא בְגַפּוֹ </w:t>
      </w:r>
      <w:r w:rsidRPr="00707721">
        <w:rPr>
          <w:rFonts w:hint="cs"/>
          <w:sz w:val="24"/>
          <w:szCs w:val="24"/>
          <w:rtl/>
        </w:rPr>
        <w:t>(=לבדו)</w:t>
      </w:r>
      <w:r>
        <w:rPr>
          <w:rFonts w:hint="cs"/>
          <w:b/>
          <w:bCs/>
          <w:sz w:val="24"/>
          <w:szCs w:val="24"/>
          <w:rtl/>
        </w:rPr>
        <w:t xml:space="preserve">; ואם אָמֹר יאמר העבד: אהבתי את אדֹני, את אשתי ואת בנַי, לא אצא חפשי... וַעבָדוֹ לעֹלָם" </w:t>
      </w:r>
      <w:r w:rsidRPr="00707721">
        <w:rPr>
          <w:rFonts w:hint="cs"/>
          <w:sz w:val="24"/>
          <w:szCs w:val="24"/>
          <w:rtl/>
        </w:rPr>
        <w:t>(שמות כ"א ד-ו).</w:t>
      </w:r>
    </w:p>
    <w:p w:rsidR="00215683" w:rsidRDefault="00215683" w:rsidP="00215683">
      <w:pPr>
        <w:jc w:val="both"/>
        <w:rPr>
          <w:b/>
          <w:bCs/>
          <w:sz w:val="24"/>
          <w:szCs w:val="24"/>
          <w:rtl/>
        </w:rPr>
      </w:pPr>
      <w:r w:rsidRPr="00707721">
        <w:rPr>
          <w:rFonts w:hint="cs"/>
          <w:sz w:val="24"/>
          <w:szCs w:val="24"/>
          <w:rtl/>
        </w:rPr>
        <w:t xml:space="preserve">אין ספק שלבן ניצל את מצבו של יעקב בן אחותו, שאסור היה לו לעזוב בגלל החשש מעשו אחיו, והפכו למעשה לעבד שתלוי בו. נישואי יעקב עם בנות לבן נחשבו בעיני לבן כנישואי חסות, ואם יתעקש יעקב לחזור אל בית אביו, </w:t>
      </w:r>
      <w:r w:rsidRPr="00707721">
        <w:rPr>
          <w:rFonts w:hint="cs"/>
          <w:sz w:val="24"/>
          <w:szCs w:val="24"/>
          <w:rtl/>
        </w:rPr>
        <w:lastRenderedPageBreak/>
        <w:t>יצטרך לוותר על אשתו ועל בניו. מאידך, אם יאמר</w:t>
      </w:r>
      <w:r>
        <w:rPr>
          <w:rFonts w:hint="cs"/>
          <w:b/>
          <w:bCs/>
          <w:sz w:val="24"/>
          <w:szCs w:val="24"/>
          <w:rtl/>
        </w:rPr>
        <w:t xml:space="preserve"> 'אהבתי את אשתי ואת בנַי' </w:t>
      </w:r>
      <w:r w:rsidRPr="00707721">
        <w:rPr>
          <w:rFonts w:hint="cs"/>
          <w:sz w:val="24"/>
          <w:szCs w:val="24"/>
          <w:rtl/>
        </w:rPr>
        <w:t>(גם בלי אהבה ללבן חותנו-אדונו), יצטרך לוותר חלומו לצאת מבית לבן, ולשוב אל ארץ מולדתו, ואל בית אביו.</w:t>
      </w:r>
    </w:p>
    <w:p w:rsidR="00215683" w:rsidRDefault="00215683" w:rsidP="00215683">
      <w:pPr>
        <w:jc w:val="both"/>
        <w:rPr>
          <w:b/>
          <w:bCs/>
          <w:sz w:val="24"/>
          <w:szCs w:val="24"/>
          <w:rtl/>
        </w:rPr>
      </w:pPr>
      <w:r w:rsidRPr="00707721">
        <w:rPr>
          <w:rFonts w:hint="cs"/>
          <w:sz w:val="24"/>
          <w:szCs w:val="24"/>
          <w:rtl/>
        </w:rPr>
        <w:t>במפורש אמרו רחל ולאה ליעקב, כאשר קרא להן</w:t>
      </w:r>
      <w:r>
        <w:rPr>
          <w:rFonts w:hint="cs"/>
          <w:b/>
          <w:bCs/>
          <w:sz w:val="24"/>
          <w:szCs w:val="24"/>
          <w:rtl/>
        </w:rPr>
        <w:t xml:space="preserve"> "השדה אל צאנו" </w:t>
      </w:r>
      <w:r w:rsidRPr="00707721">
        <w:rPr>
          <w:rFonts w:hint="cs"/>
          <w:sz w:val="24"/>
          <w:szCs w:val="24"/>
          <w:rtl/>
        </w:rPr>
        <w:t xml:space="preserve">להתייעצות על תוכנית הבריחה אל החופש כדבר ה', שאביהן נהג בהן כשפחות </w:t>
      </w:r>
      <w:r w:rsidRPr="00707721">
        <w:rPr>
          <w:sz w:val="24"/>
          <w:szCs w:val="24"/>
          <w:rtl/>
        </w:rPr>
        <w:t>–</w:t>
      </w:r>
      <w:r>
        <w:rPr>
          <w:rFonts w:hint="cs"/>
          <w:b/>
          <w:bCs/>
          <w:sz w:val="24"/>
          <w:szCs w:val="24"/>
          <w:rtl/>
        </w:rPr>
        <w:t xml:space="preserve"> "הַעוד לנו חלק ונחלה בבית אבינו ? </w:t>
      </w:r>
      <w:r>
        <w:rPr>
          <w:b/>
          <w:bCs/>
          <w:sz w:val="24"/>
          <w:szCs w:val="24"/>
          <w:rtl/>
        </w:rPr>
        <w:t>–</w:t>
      </w:r>
      <w:r>
        <w:rPr>
          <w:rFonts w:hint="cs"/>
          <w:b/>
          <w:bCs/>
          <w:sz w:val="24"/>
          <w:szCs w:val="24"/>
          <w:rtl/>
        </w:rPr>
        <w:t xml:space="preserve"> הלוא נכריות נֶחשַבנוּ לו כי מְכָרָנוּ, ויֹאכל גם אָכוֹל את כספנו ..." </w:t>
      </w:r>
      <w:r w:rsidRPr="00707721">
        <w:rPr>
          <w:rFonts w:hint="cs"/>
          <w:sz w:val="24"/>
          <w:szCs w:val="24"/>
          <w:rtl/>
        </w:rPr>
        <w:t xml:space="preserve">(בראשית ל"א ד/יד-טו). ברור, שהן ראו בבריחה דרך יחידה לצאת מעבדות לחירות, והן חריפות הרבה יותר מיעקב ביחסן לשעבוד של אביהן, ש'מכר אותן כנכריות', ונהנה מכספן, כלומר מעבודת יעקב.  </w:t>
      </w:r>
    </w:p>
    <w:p w:rsidR="00215683" w:rsidRDefault="00215683" w:rsidP="00215683">
      <w:pPr>
        <w:jc w:val="both"/>
        <w:rPr>
          <w:b/>
          <w:bCs/>
          <w:sz w:val="24"/>
          <w:szCs w:val="24"/>
          <w:rtl/>
        </w:rPr>
      </w:pPr>
      <w:r w:rsidRPr="00707721">
        <w:rPr>
          <w:rFonts w:hint="cs"/>
          <w:sz w:val="24"/>
          <w:szCs w:val="24"/>
          <w:rtl/>
        </w:rPr>
        <w:t xml:space="preserve">במפורש אמר יעקב ללבן בסוף התפרצותו (כנראה היחידה בכל עשרים השנה !) </w:t>
      </w:r>
      <w:r w:rsidRPr="00707721">
        <w:rPr>
          <w:sz w:val="24"/>
          <w:szCs w:val="24"/>
          <w:rtl/>
        </w:rPr>
        <w:t>–</w:t>
      </w:r>
    </w:p>
    <w:p w:rsidR="00215683" w:rsidRDefault="00215683" w:rsidP="00215683">
      <w:pPr>
        <w:jc w:val="both"/>
        <w:rPr>
          <w:b/>
          <w:bCs/>
          <w:sz w:val="24"/>
          <w:szCs w:val="24"/>
          <w:rtl/>
        </w:rPr>
      </w:pPr>
      <w:r>
        <w:rPr>
          <w:rFonts w:hint="cs"/>
          <w:b/>
          <w:bCs/>
          <w:sz w:val="24"/>
          <w:szCs w:val="24"/>
          <w:rtl/>
        </w:rPr>
        <w:t xml:space="preserve">"לולי א-להי אבי, א-להי אברהם ופחד יצחק היה לי, כי עתה </w:t>
      </w:r>
      <w:r w:rsidRPr="002F6792">
        <w:rPr>
          <w:rFonts w:hint="cs"/>
          <w:b/>
          <w:bCs/>
          <w:sz w:val="24"/>
          <w:szCs w:val="24"/>
          <w:u w:val="single"/>
          <w:rtl/>
        </w:rPr>
        <w:t>ריקם</w:t>
      </w:r>
      <w:r>
        <w:rPr>
          <w:rFonts w:hint="cs"/>
          <w:b/>
          <w:bCs/>
          <w:sz w:val="24"/>
          <w:szCs w:val="24"/>
          <w:rtl/>
        </w:rPr>
        <w:t xml:space="preserve"> שִלַּחתָּני ..." </w:t>
      </w:r>
      <w:r w:rsidRPr="00707721">
        <w:rPr>
          <w:rFonts w:hint="cs"/>
          <w:sz w:val="24"/>
          <w:szCs w:val="24"/>
          <w:rtl/>
        </w:rPr>
        <w:t>(ל"א מב).</w:t>
      </w:r>
    </w:p>
    <w:p w:rsidR="00215683" w:rsidRDefault="00215683" w:rsidP="00215683">
      <w:pPr>
        <w:jc w:val="both"/>
        <w:rPr>
          <w:b/>
          <w:bCs/>
          <w:sz w:val="24"/>
          <w:szCs w:val="24"/>
          <w:rtl/>
        </w:rPr>
      </w:pPr>
      <w:r w:rsidRPr="00707721">
        <w:rPr>
          <w:rFonts w:hint="cs"/>
          <w:sz w:val="24"/>
          <w:szCs w:val="24"/>
          <w:rtl/>
        </w:rPr>
        <w:t>במפורש הודה גם לבן עצמו כשהרים ידים</w:t>
      </w:r>
      <w:r w:rsidRPr="00707721">
        <w:rPr>
          <w:sz w:val="24"/>
          <w:szCs w:val="24"/>
          <w:rtl/>
        </w:rPr>
        <w:t>–</w:t>
      </w:r>
      <w:r>
        <w:rPr>
          <w:rFonts w:hint="cs"/>
          <w:b/>
          <w:bCs/>
          <w:sz w:val="24"/>
          <w:szCs w:val="24"/>
          <w:rtl/>
        </w:rPr>
        <w:t xml:space="preserve"> "הבנות בנֹתַי, והבנים בָּנַי, והצאן צאני, וכל אשר אתה רֹאֶה, לי הוא, ולבנֹתַי ..." </w:t>
      </w:r>
      <w:r w:rsidRPr="00707721">
        <w:rPr>
          <w:rFonts w:hint="cs"/>
          <w:sz w:val="24"/>
          <w:szCs w:val="24"/>
          <w:rtl/>
        </w:rPr>
        <w:t>(ל"א מג).</w:t>
      </w:r>
    </w:p>
    <w:p w:rsidR="00215683" w:rsidRDefault="00215683" w:rsidP="00215683">
      <w:pPr>
        <w:jc w:val="both"/>
        <w:rPr>
          <w:b/>
          <w:bCs/>
          <w:sz w:val="24"/>
          <w:szCs w:val="24"/>
          <w:rtl/>
        </w:rPr>
      </w:pPr>
      <w:r w:rsidRPr="00707721">
        <w:rPr>
          <w:rFonts w:hint="cs"/>
          <w:sz w:val="24"/>
          <w:szCs w:val="24"/>
          <w:rtl/>
        </w:rPr>
        <w:t>אם כך נהג לבן כלפי יעקב ונשיו/בנותיו, ברור שהנורמה המשפטית המקובלת קבעה כך ביחס לעבד ונשיו, שפחות האדון. לבן ניצל את יעקב התם, שלא היתה לו דרך אחרת, והחיל עליו את המשפט הנוהג בעבד, ואף ניסה להשאיר את בנותיו עם בניהן אצלו, ולשלוח את יעקב</w:t>
      </w:r>
      <w:r>
        <w:rPr>
          <w:rFonts w:hint="cs"/>
          <w:b/>
          <w:bCs/>
          <w:sz w:val="24"/>
          <w:szCs w:val="24"/>
          <w:rtl/>
        </w:rPr>
        <w:t xml:space="preserve"> "ריקם" </w:t>
      </w:r>
      <w:r w:rsidRPr="00707721">
        <w:rPr>
          <w:rFonts w:hint="cs"/>
          <w:sz w:val="24"/>
          <w:szCs w:val="24"/>
          <w:rtl/>
        </w:rPr>
        <w:t>לבית אביו, בלי כלום, ובלי שמחה ובלי שירים וכלי נגינה.</w:t>
      </w:r>
    </w:p>
    <w:p w:rsidR="00215683" w:rsidRPr="00707721" w:rsidRDefault="00215683" w:rsidP="00215683">
      <w:pPr>
        <w:jc w:val="both"/>
        <w:rPr>
          <w:sz w:val="24"/>
          <w:szCs w:val="24"/>
          <w:rtl/>
        </w:rPr>
      </w:pPr>
      <w:r w:rsidRPr="00707721">
        <w:rPr>
          <w:rFonts w:hint="cs"/>
          <w:sz w:val="24"/>
          <w:szCs w:val="24"/>
          <w:rtl/>
        </w:rPr>
        <w:t>משפט העבד בתורה הוא חידוש מהפכני הנובע מיציאת מצרים, והמנהגים הקדומים מימי האבות מבצבצים ומופיעים במצב בו רעיון החופש נעצר, ונותר מקום לזכויות הקניין של המשפחה הקדומה, שהתבססה על עבדות</w:t>
      </w:r>
      <w:r>
        <w:rPr>
          <w:rFonts w:hint="cs"/>
          <w:b/>
          <w:bCs/>
          <w:sz w:val="24"/>
          <w:szCs w:val="24"/>
          <w:rtl/>
        </w:rPr>
        <w:t xml:space="preserve"> 'לעולם'</w:t>
      </w:r>
      <w:r w:rsidRPr="00707721">
        <w:rPr>
          <w:rFonts w:hint="cs"/>
          <w:sz w:val="24"/>
          <w:szCs w:val="24"/>
          <w:rtl/>
        </w:rPr>
        <w:t xml:space="preserve">, בפרט במקום שהעבד עצמו מעדיף להישאר במסגרת מוכרת, שיש בה ביטחון מסוים </w:t>
      </w:r>
      <w:r w:rsidRPr="00707721">
        <w:rPr>
          <w:sz w:val="24"/>
          <w:szCs w:val="24"/>
          <w:rtl/>
        </w:rPr>
        <w:t>–</w:t>
      </w:r>
      <w:r w:rsidRPr="00707721">
        <w:rPr>
          <w:rFonts w:hint="cs"/>
          <w:sz w:val="24"/>
          <w:szCs w:val="24"/>
          <w:rtl/>
        </w:rPr>
        <w:t xml:space="preserve"> הלוא יש סיכונים בחופש !</w:t>
      </w:r>
    </w:p>
    <w:p w:rsidR="00215683" w:rsidRDefault="00215683" w:rsidP="00215683">
      <w:pPr>
        <w:jc w:val="both"/>
        <w:rPr>
          <w:b/>
          <w:bCs/>
          <w:sz w:val="24"/>
          <w:szCs w:val="24"/>
          <w:rtl/>
        </w:rPr>
      </w:pPr>
      <w:r w:rsidRPr="00707721">
        <w:rPr>
          <w:rFonts w:hint="cs"/>
          <w:sz w:val="24"/>
          <w:szCs w:val="24"/>
          <w:rtl/>
        </w:rPr>
        <w:t>המהפך הגדול שהתבטא בעקרון החופש של העבד בתורה, לא הפקיע את הבעלות הקדומה של האדון על</w:t>
      </w:r>
      <w:r>
        <w:rPr>
          <w:rFonts w:hint="cs"/>
          <w:b/>
          <w:bCs/>
          <w:sz w:val="24"/>
          <w:szCs w:val="24"/>
          <w:rtl/>
        </w:rPr>
        <w:t xml:space="preserve"> 'שפחתו'</w:t>
      </w:r>
      <w:r w:rsidRPr="00707721">
        <w:rPr>
          <w:rFonts w:hint="cs"/>
          <w:sz w:val="24"/>
          <w:szCs w:val="24"/>
          <w:rtl/>
        </w:rPr>
        <w:t>, שהוא נתן לעבד לאשה. אם העבד יעדיף את משפחתו מן העבדות, הוא יהפוך ל</w:t>
      </w:r>
      <w:r>
        <w:rPr>
          <w:rFonts w:hint="cs"/>
          <w:b/>
          <w:bCs/>
          <w:sz w:val="24"/>
          <w:szCs w:val="24"/>
          <w:rtl/>
        </w:rPr>
        <w:t>'עבד נרצע'</w:t>
      </w:r>
      <w:r w:rsidRPr="00707721">
        <w:rPr>
          <w:rFonts w:hint="cs"/>
          <w:sz w:val="24"/>
          <w:szCs w:val="24"/>
          <w:rtl/>
        </w:rPr>
        <w:t>, ויוותר על ה</w:t>
      </w:r>
      <w:r>
        <w:rPr>
          <w:rFonts w:hint="cs"/>
          <w:b/>
          <w:bCs/>
          <w:sz w:val="24"/>
          <w:szCs w:val="24"/>
          <w:rtl/>
        </w:rPr>
        <w:t>'יציאה לחפשי אחרי שש שנים'</w:t>
      </w:r>
      <w:r w:rsidRPr="005A79D4">
        <w:rPr>
          <w:rFonts w:hint="cs"/>
          <w:sz w:val="24"/>
          <w:szCs w:val="24"/>
          <w:rtl/>
        </w:rPr>
        <w:t xml:space="preserve"> !).</w:t>
      </w:r>
    </w:p>
    <w:p w:rsidR="00215683" w:rsidRDefault="00215683" w:rsidP="00215683">
      <w:pPr>
        <w:jc w:val="both"/>
        <w:rPr>
          <w:rFonts w:asciiTheme="minorBidi" w:hAnsiTheme="minorBidi"/>
          <w:sz w:val="24"/>
          <w:szCs w:val="24"/>
          <w:rtl/>
        </w:rPr>
      </w:pPr>
      <w:r>
        <w:rPr>
          <w:rFonts w:asciiTheme="minorBidi" w:hAnsiTheme="minorBidi" w:hint="cs"/>
          <w:b/>
          <w:bCs/>
          <w:sz w:val="32"/>
          <w:szCs w:val="32"/>
          <w:rtl/>
        </w:rPr>
        <w:t xml:space="preserve">דיני האבות ודיני </w:t>
      </w:r>
      <w:r w:rsidRPr="00223C88">
        <w:rPr>
          <w:rFonts w:asciiTheme="minorBidi" w:hAnsiTheme="minorBidi"/>
          <w:b/>
          <w:bCs/>
          <w:sz w:val="32"/>
          <w:szCs w:val="32"/>
          <w:rtl/>
        </w:rPr>
        <w:t>מסופוטמיה</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גילויים של קובצי דינים עתיקים ממסופוטמיה (שוּמֶר, בבל, אשור וארץ החיתים) חולל בתחילת המאה העשרים סערה גדולה בקרב לומדי התנ"ך, המאמינים יותר והמאמינים פחות; מצד אחד התלהבות עצומה ומצד שני זעזוע וחרדה, וכמובן - גלים של פרשנות, ומחלוקות שנמשכות עד היום. מחד, התעוררה שמחה גדולה על גילוי הממצאים, שחשפו קובצי דינים קדומים מימי האבות, וערערו במידה ניכרת את הטענות לאיחור ספרי התורה; מאידך, התברר שבמזרח הקדום היו מקבילות למשפטי התורה שאף קדמו לה, והאמונה במקוריותה וייחודה של התורה, הנתונה מן השמים כיש מאין, נראתה באור שונה.</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היו גם כאלה שלא התרגשו. הרב קוק כתב: "</w:t>
      </w:r>
      <w:r w:rsidRPr="001D0B9B">
        <w:rPr>
          <w:rFonts w:asciiTheme="minorBidi" w:hAnsiTheme="minorBidi"/>
          <w:b/>
          <w:bCs/>
          <w:rtl/>
        </w:rPr>
        <w:t>וכי אין זה דבר מפורסם, שהיו בין הראשונים יודעי דעת א-להים, נביאים וגדולי הרוח, מתושלח, חנוך, שם ועבר וכיוצא באלה?! ... ואיך אפשר שלא יהיה שום רושם כלל בדורותם מהשפעותיהם?! והלוא הם מוכרחים להיות דומים לענייני תורה!</w:t>
      </w:r>
      <w:r w:rsidRPr="00223C88">
        <w:rPr>
          <w:rFonts w:asciiTheme="minorBidi" w:hAnsiTheme="minorBidi"/>
          <w:sz w:val="24"/>
          <w:szCs w:val="24"/>
          <w:rtl/>
        </w:rPr>
        <w:t>" (אדר היקר, עמ' מב).</w:t>
      </w:r>
    </w:p>
    <w:p w:rsidR="00215683" w:rsidRPr="00223C88" w:rsidRDefault="00215683" w:rsidP="00215683">
      <w:pPr>
        <w:jc w:val="both"/>
        <w:rPr>
          <w:rFonts w:asciiTheme="minorBidi" w:hAnsiTheme="minorBidi"/>
          <w:sz w:val="24"/>
          <w:szCs w:val="24"/>
          <w:u w:val="single"/>
          <w:rtl/>
        </w:rPr>
      </w:pPr>
      <w:r w:rsidRPr="00223C88">
        <w:rPr>
          <w:rFonts w:asciiTheme="minorBidi" w:hAnsiTheme="minorBidi"/>
          <w:b/>
          <w:bCs/>
          <w:sz w:val="24"/>
          <w:szCs w:val="24"/>
          <w:u w:val="single"/>
          <w:rtl/>
        </w:rPr>
        <w:t>דיני מסופוטמיה וספר בראשית</w:t>
      </w:r>
    </w:p>
    <w:p w:rsidR="00215683" w:rsidRDefault="00215683" w:rsidP="00215683">
      <w:pPr>
        <w:jc w:val="both"/>
        <w:rPr>
          <w:rFonts w:asciiTheme="minorBidi" w:hAnsiTheme="minorBidi"/>
          <w:sz w:val="24"/>
          <w:szCs w:val="24"/>
          <w:rtl/>
        </w:rPr>
      </w:pPr>
      <w:r>
        <w:rPr>
          <w:rFonts w:asciiTheme="minorBidi" w:hAnsiTheme="minorBidi" w:hint="cs"/>
          <w:sz w:val="24"/>
          <w:szCs w:val="24"/>
          <w:rtl/>
        </w:rPr>
        <w:t xml:space="preserve">בחירת אברהם מנוסחת בספר בראשית (י"ח, יז-יט) </w:t>
      </w:r>
      <w:r>
        <w:rPr>
          <w:rFonts w:asciiTheme="minorBidi" w:hAnsiTheme="minorBidi"/>
          <w:sz w:val="24"/>
          <w:szCs w:val="24"/>
          <w:rtl/>
        </w:rPr>
        <w:t>–</w:t>
      </w:r>
    </w:p>
    <w:p w:rsidR="00215683" w:rsidRDefault="00215683" w:rsidP="00215683">
      <w:pPr>
        <w:jc w:val="both"/>
        <w:rPr>
          <w:rFonts w:asciiTheme="minorBidi" w:hAnsiTheme="minorBidi"/>
          <w:b/>
          <w:bCs/>
          <w:sz w:val="24"/>
          <w:szCs w:val="24"/>
          <w:rtl/>
        </w:rPr>
      </w:pPr>
      <w:r>
        <w:rPr>
          <w:rFonts w:asciiTheme="minorBidi" w:hAnsiTheme="minorBidi" w:hint="cs"/>
          <w:sz w:val="24"/>
          <w:szCs w:val="24"/>
          <w:rtl/>
        </w:rPr>
        <w:t>"</w:t>
      </w:r>
      <w:r>
        <w:rPr>
          <w:rFonts w:asciiTheme="minorBidi" w:hAnsiTheme="minorBidi" w:hint="cs"/>
          <w:b/>
          <w:bCs/>
          <w:sz w:val="24"/>
          <w:szCs w:val="24"/>
          <w:rtl/>
        </w:rPr>
        <w:t xml:space="preserve">וה' אָמַר ... ואברהם הָיוֹ יהיה לגוי גדול ועצום, ונברכו בו כל גויי הארץ; </w:t>
      </w:r>
    </w:p>
    <w:p w:rsidR="00215683" w:rsidRPr="00C27295" w:rsidRDefault="00215683" w:rsidP="00215683">
      <w:pPr>
        <w:jc w:val="both"/>
        <w:rPr>
          <w:rFonts w:asciiTheme="minorBidi" w:hAnsiTheme="minorBidi"/>
          <w:sz w:val="24"/>
          <w:szCs w:val="24"/>
          <w:rtl/>
        </w:rPr>
      </w:pPr>
      <w:r>
        <w:rPr>
          <w:rFonts w:asciiTheme="minorBidi" w:hAnsiTheme="minorBidi" w:hint="cs"/>
          <w:b/>
          <w:bCs/>
          <w:sz w:val="24"/>
          <w:szCs w:val="24"/>
          <w:rtl/>
        </w:rPr>
        <w:t xml:space="preserve">כי ידעתיו למען אשר יצוה את בניו ואת ביתו אחריו, ושמרו דרך ה' לעשות צדקה ומשפט </w:t>
      </w:r>
      <w:r>
        <w:rPr>
          <w:rFonts w:asciiTheme="minorBidi" w:hAnsiTheme="minorBidi"/>
          <w:b/>
          <w:bCs/>
          <w:sz w:val="24"/>
          <w:szCs w:val="24"/>
          <w:rtl/>
        </w:rPr>
        <w:t>–</w:t>
      </w:r>
      <w:r>
        <w:rPr>
          <w:rFonts w:asciiTheme="minorBidi" w:hAnsiTheme="minorBidi" w:hint="cs"/>
          <w:b/>
          <w:bCs/>
          <w:sz w:val="24"/>
          <w:szCs w:val="24"/>
          <w:rtl/>
        </w:rPr>
        <w:t xml:space="preserve"> למען הביא ה' על אברהם את אשר דבר עליו</w:t>
      </w:r>
      <w:r>
        <w:rPr>
          <w:rFonts w:asciiTheme="minorBidi" w:hAnsiTheme="minorBidi" w:hint="cs"/>
          <w:sz w:val="24"/>
          <w:szCs w:val="24"/>
          <w:rtl/>
        </w:rPr>
        <w:t>";</w:t>
      </w:r>
    </w:p>
    <w:p w:rsidR="00215683" w:rsidRPr="005A79D4" w:rsidRDefault="00215683" w:rsidP="00215683">
      <w:pPr>
        <w:jc w:val="both"/>
        <w:rPr>
          <w:rFonts w:asciiTheme="minorBidi" w:hAnsiTheme="minorBidi"/>
          <w:sz w:val="24"/>
          <w:szCs w:val="24"/>
          <w:rtl/>
        </w:rPr>
      </w:pPr>
      <w:r w:rsidRPr="005A79D4">
        <w:rPr>
          <w:rFonts w:asciiTheme="minorBidi" w:hAnsiTheme="minorBidi" w:hint="cs"/>
          <w:sz w:val="24"/>
          <w:szCs w:val="24"/>
          <w:rtl/>
        </w:rPr>
        <w:t>לא נאמר, שה' יצווה על אברהם חוקים ומשפטים, אלא, שאברהם נבחר, והוא יצווה.</w:t>
      </w:r>
    </w:p>
    <w:p w:rsidR="00215683" w:rsidRPr="005A79D4" w:rsidRDefault="00215683" w:rsidP="00215683">
      <w:pPr>
        <w:jc w:val="both"/>
        <w:rPr>
          <w:rFonts w:asciiTheme="minorBidi" w:hAnsiTheme="minorBidi"/>
          <w:sz w:val="24"/>
          <w:szCs w:val="24"/>
          <w:rtl/>
        </w:rPr>
      </w:pPr>
      <w:r w:rsidRPr="005A79D4">
        <w:rPr>
          <w:rFonts w:asciiTheme="minorBidi" w:hAnsiTheme="minorBidi" w:hint="cs"/>
          <w:sz w:val="24"/>
          <w:szCs w:val="24"/>
          <w:rtl/>
        </w:rPr>
        <w:lastRenderedPageBreak/>
        <w:t>זהו העיקרון היסודי של מצוות 'דינים', משבע מצוות בני נח</w:t>
      </w:r>
      <w:r>
        <w:rPr>
          <w:rFonts w:asciiTheme="minorBidi" w:hAnsiTheme="minorBidi" w:hint="cs"/>
          <w:sz w:val="24"/>
          <w:szCs w:val="24"/>
          <w:rtl/>
        </w:rPr>
        <w:t xml:space="preserve">, כדברי רמב"ן (מול הרמב"ם) בפירושו למעשה שכם </w:t>
      </w:r>
      <w:r>
        <w:rPr>
          <w:rFonts w:asciiTheme="minorBidi" w:hAnsiTheme="minorBidi"/>
          <w:sz w:val="24"/>
          <w:szCs w:val="24"/>
          <w:rtl/>
        </w:rPr>
        <w:t>–</w:t>
      </w:r>
      <w:r w:rsidRPr="005E2878">
        <w:rPr>
          <w:rFonts w:asciiTheme="minorBidi" w:hAnsiTheme="minorBidi" w:hint="cs"/>
          <w:b/>
          <w:bCs/>
          <w:rtl/>
        </w:rPr>
        <w:t>"ציוה אותם בדיני גנבה ואונאה, ועושק ושכר שכיר, ודיני השומרים, ואונס ומפתה, ואבות נזיקין וחובל בחברו, ודיני מלוהולוה, ודיני מקח וממכר, וכיוצא בהן, כענין הדינים שנצטוו ישראל"</w:t>
      </w:r>
      <w:r w:rsidRPr="005A79D4">
        <w:rPr>
          <w:rFonts w:asciiTheme="minorBidi" w:hAnsiTheme="minorBidi" w:hint="cs"/>
          <w:sz w:val="24"/>
          <w:szCs w:val="24"/>
          <w:rtl/>
        </w:rPr>
        <w:t>.</w:t>
      </w:r>
    </w:p>
    <w:p w:rsidR="00215683" w:rsidRDefault="00215683" w:rsidP="00215683">
      <w:pPr>
        <w:jc w:val="both"/>
        <w:rPr>
          <w:rFonts w:asciiTheme="minorBidi" w:hAnsiTheme="minorBidi"/>
          <w:sz w:val="24"/>
          <w:szCs w:val="24"/>
          <w:rtl/>
        </w:rPr>
      </w:pPr>
      <w:r w:rsidRPr="005A79D4">
        <w:rPr>
          <w:rFonts w:asciiTheme="minorBidi" w:hAnsiTheme="minorBidi"/>
          <w:sz w:val="24"/>
          <w:szCs w:val="24"/>
          <w:rtl/>
        </w:rPr>
        <w:t>חַ'מוּרַבּי</w:t>
      </w:r>
      <w:r>
        <w:rPr>
          <w:rFonts w:asciiTheme="minorBidi" w:hAnsiTheme="minorBidi" w:hint="cs"/>
          <w:sz w:val="24"/>
          <w:szCs w:val="24"/>
          <w:rtl/>
        </w:rPr>
        <w:t xml:space="preserve">מלך בבל </w:t>
      </w:r>
      <w:r w:rsidRPr="005A79D4">
        <w:rPr>
          <w:rFonts w:asciiTheme="minorBidi" w:hAnsiTheme="minorBidi"/>
          <w:sz w:val="24"/>
          <w:szCs w:val="24"/>
          <w:rtl/>
        </w:rPr>
        <w:t xml:space="preserve">היה בן זמנו של אברהם </w:t>
      </w:r>
      <w:r w:rsidRPr="00223C88">
        <w:rPr>
          <w:rFonts w:asciiTheme="minorBidi" w:hAnsiTheme="minorBidi"/>
          <w:sz w:val="24"/>
          <w:szCs w:val="24"/>
          <w:rtl/>
        </w:rPr>
        <w:t>(המאה ה-18 לפנה"ס)</w:t>
      </w:r>
      <w:r>
        <w:rPr>
          <w:rFonts w:asciiTheme="minorBidi" w:hAnsiTheme="minorBidi" w:hint="cs"/>
          <w:sz w:val="24"/>
          <w:szCs w:val="24"/>
          <w:rtl/>
        </w:rPr>
        <w:t>, ומוצא משפחתו מבני שֵם המערביים (=ארם נהרים) לפי השמות בשושלת;</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להלן כמה הקבלות ספציפיות בין פרקים אחדים בסיפורי האבות לבין סעיפים בדיני חַ'מוּרַבּי (ובקובצי דינים דומים, ממסופוטמיה):</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1. הדין של אשה עקרה שנתנה את אמתהּ לאיש כדי שתלד לו בנים מסתעף לארבעה דינים (חַ</w:t>
      </w:r>
      <w:r>
        <w:rPr>
          <w:rFonts w:asciiTheme="minorBidi" w:hAnsiTheme="minorBidi" w:hint="cs"/>
          <w:sz w:val="24"/>
          <w:szCs w:val="24"/>
          <w:rtl/>
        </w:rPr>
        <w:t>'</w:t>
      </w:r>
      <w:r w:rsidRPr="00223C88">
        <w:rPr>
          <w:rFonts w:asciiTheme="minorBidi" w:hAnsiTheme="minorBidi"/>
          <w:sz w:val="24"/>
          <w:szCs w:val="24"/>
          <w:rtl/>
        </w:rPr>
        <w:t xml:space="preserve">מוּרַבּי 147-144), ומביניהם נביא כאן את ההקבלה העיקרית לספר בראשית: </w:t>
      </w:r>
    </w:p>
    <w:p w:rsidR="00215683" w:rsidRPr="00223C88" w:rsidRDefault="00215683" w:rsidP="00215683">
      <w:pPr>
        <w:jc w:val="both"/>
        <w:rPr>
          <w:rFonts w:asciiTheme="minorBidi" w:hAnsiTheme="minorBidi"/>
          <w:rtl/>
        </w:rPr>
      </w:pPr>
      <w:r w:rsidRPr="005A79D4">
        <w:rPr>
          <w:rFonts w:asciiTheme="minorBidi" w:hAnsiTheme="minorBidi"/>
          <w:i/>
          <w:iCs/>
          <w:sz w:val="24"/>
          <w:szCs w:val="24"/>
          <w:rtl/>
        </w:rPr>
        <w:t>'</w:t>
      </w:r>
      <w:r w:rsidRPr="005A79D4">
        <w:rPr>
          <w:rFonts w:asciiTheme="minorBidi" w:hAnsiTheme="minorBidi"/>
          <w:b/>
          <w:bCs/>
          <w:i/>
          <w:iCs/>
          <w:sz w:val="24"/>
          <w:szCs w:val="24"/>
          <w:rtl/>
        </w:rPr>
        <w:t>אם איש</w:t>
      </w:r>
      <w:r w:rsidRPr="00223C88">
        <w:rPr>
          <w:rFonts w:asciiTheme="minorBidi" w:hAnsiTheme="minorBidi"/>
          <w:sz w:val="24"/>
          <w:szCs w:val="24"/>
          <w:rtl/>
        </w:rPr>
        <w:t xml:space="preserve"> (כוהנת) </w:t>
      </w:r>
      <w:r w:rsidRPr="005A79D4">
        <w:rPr>
          <w:rFonts w:asciiTheme="minorBidi" w:hAnsiTheme="minorBidi"/>
          <w:b/>
          <w:bCs/>
          <w:i/>
          <w:iCs/>
          <w:sz w:val="24"/>
          <w:szCs w:val="24"/>
          <w:rtl/>
        </w:rPr>
        <w:t>נָדיתוּם לאשה יקח, ובנים לא נתנה לו, והיא א</w:t>
      </w:r>
      <w:r>
        <w:rPr>
          <w:rFonts w:asciiTheme="minorBidi" w:hAnsiTheme="minorBidi" w:hint="cs"/>
          <w:b/>
          <w:bCs/>
          <w:i/>
          <w:iCs/>
          <w:sz w:val="24"/>
          <w:szCs w:val="24"/>
          <w:rtl/>
        </w:rPr>
        <w:t>ָ</w:t>
      </w:r>
      <w:r w:rsidRPr="005A79D4">
        <w:rPr>
          <w:rFonts w:asciiTheme="minorBidi" w:hAnsiTheme="minorBidi"/>
          <w:b/>
          <w:bCs/>
          <w:i/>
          <w:iCs/>
          <w:sz w:val="24"/>
          <w:szCs w:val="24"/>
          <w:rtl/>
        </w:rPr>
        <w:t>מ</w:t>
      </w:r>
      <w:r>
        <w:rPr>
          <w:rFonts w:asciiTheme="minorBidi" w:hAnsiTheme="minorBidi" w:hint="cs"/>
          <w:b/>
          <w:bCs/>
          <w:i/>
          <w:iCs/>
          <w:sz w:val="24"/>
          <w:szCs w:val="24"/>
          <w:rtl/>
        </w:rPr>
        <w:t>ָ</w:t>
      </w:r>
      <w:r w:rsidRPr="005A79D4">
        <w:rPr>
          <w:rFonts w:asciiTheme="minorBidi" w:hAnsiTheme="minorBidi"/>
          <w:b/>
          <w:bCs/>
          <w:i/>
          <w:iCs/>
          <w:sz w:val="24"/>
          <w:szCs w:val="24"/>
          <w:rtl/>
        </w:rPr>
        <w:t>ה לבעלה נתנה והפכה אותו אב לבנים – האיש ההוא, שוּגיתוּם</w:t>
      </w:r>
      <w:r w:rsidRPr="00223C88">
        <w:rPr>
          <w:rFonts w:asciiTheme="minorBidi" w:hAnsiTheme="minorBidi"/>
          <w:sz w:val="24"/>
          <w:szCs w:val="24"/>
          <w:rtl/>
        </w:rPr>
        <w:t xml:space="preserve"> (כוהנת נחותה יותר) </w:t>
      </w:r>
      <w:r w:rsidRPr="005A79D4">
        <w:rPr>
          <w:rFonts w:asciiTheme="minorBidi" w:hAnsiTheme="minorBidi"/>
          <w:b/>
          <w:bCs/>
          <w:i/>
          <w:iCs/>
          <w:sz w:val="24"/>
          <w:szCs w:val="24"/>
          <w:rtl/>
        </w:rPr>
        <w:t xml:space="preserve">לאשה לא יקח; אם לאחר מכן, האמה ההיא עם גבִרתהּ </w:t>
      </w:r>
      <w:r w:rsidRPr="005A79D4">
        <w:rPr>
          <w:rFonts w:asciiTheme="minorBidi" w:hAnsiTheme="minorBidi"/>
          <w:b/>
          <w:bCs/>
          <w:i/>
          <w:iCs/>
          <w:sz w:val="24"/>
          <w:szCs w:val="24"/>
          <w:u w:val="single"/>
          <w:rtl/>
        </w:rPr>
        <w:t>תשתווה</w:t>
      </w:r>
      <w:r w:rsidRPr="005A79D4">
        <w:rPr>
          <w:rFonts w:asciiTheme="minorBidi" w:hAnsiTheme="minorBidi"/>
          <w:b/>
          <w:bCs/>
          <w:i/>
          <w:iCs/>
          <w:sz w:val="24"/>
          <w:szCs w:val="24"/>
          <w:rtl/>
        </w:rPr>
        <w:t xml:space="preserve"> כי ילדה בנים – גבִרתהּ בכסף לא תמכור אותה – סימן</w:t>
      </w:r>
      <w:r w:rsidRPr="00223C88">
        <w:rPr>
          <w:rFonts w:asciiTheme="minorBidi" w:hAnsiTheme="minorBidi"/>
          <w:sz w:val="24"/>
          <w:szCs w:val="24"/>
          <w:rtl/>
        </w:rPr>
        <w:t xml:space="preserve"> (תספורת) </w:t>
      </w:r>
      <w:r w:rsidRPr="005A79D4">
        <w:rPr>
          <w:rFonts w:asciiTheme="minorBidi" w:hAnsiTheme="minorBidi"/>
          <w:b/>
          <w:bCs/>
          <w:i/>
          <w:iCs/>
          <w:sz w:val="24"/>
          <w:szCs w:val="24"/>
          <w:rtl/>
        </w:rPr>
        <w:t>עבדות תתן עליה, ועם האמהות תמנה אותה – אם</w:t>
      </w:r>
      <w:r w:rsidRPr="00223C88">
        <w:rPr>
          <w:rFonts w:asciiTheme="minorBidi" w:hAnsiTheme="minorBidi"/>
          <w:sz w:val="24"/>
          <w:szCs w:val="24"/>
          <w:rtl/>
        </w:rPr>
        <w:t xml:space="preserve"> (הא</w:t>
      </w:r>
      <w:r>
        <w:rPr>
          <w:rFonts w:asciiTheme="minorBidi" w:hAnsiTheme="minorBidi" w:hint="cs"/>
          <w:sz w:val="24"/>
          <w:szCs w:val="24"/>
          <w:rtl/>
        </w:rPr>
        <w:t>ָ</w:t>
      </w:r>
      <w:r w:rsidRPr="00223C88">
        <w:rPr>
          <w:rFonts w:asciiTheme="minorBidi" w:hAnsiTheme="minorBidi"/>
          <w:sz w:val="24"/>
          <w:szCs w:val="24"/>
          <w:rtl/>
        </w:rPr>
        <w:t>מ</w:t>
      </w:r>
      <w:r>
        <w:rPr>
          <w:rFonts w:asciiTheme="minorBidi" w:hAnsiTheme="minorBidi" w:hint="cs"/>
          <w:sz w:val="24"/>
          <w:szCs w:val="24"/>
          <w:rtl/>
        </w:rPr>
        <w:t>ָ</w:t>
      </w:r>
      <w:r w:rsidRPr="00223C88">
        <w:rPr>
          <w:rFonts w:asciiTheme="minorBidi" w:hAnsiTheme="minorBidi"/>
          <w:sz w:val="24"/>
          <w:szCs w:val="24"/>
          <w:rtl/>
        </w:rPr>
        <w:t xml:space="preserve">ה) </w:t>
      </w:r>
      <w:r w:rsidRPr="005A79D4">
        <w:rPr>
          <w:rFonts w:asciiTheme="minorBidi" w:hAnsiTheme="minorBidi"/>
          <w:b/>
          <w:bCs/>
          <w:i/>
          <w:iCs/>
          <w:sz w:val="24"/>
          <w:szCs w:val="24"/>
          <w:rtl/>
        </w:rPr>
        <w:t>בנים לא ילדה – גבִרתהּ בכסף תמכור אותה</w:t>
      </w:r>
      <w:r w:rsidRPr="005A79D4">
        <w:rPr>
          <w:rFonts w:asciiTheme="minorBidi" w:hAnsiTheme="minorBidi"/>
          <w:i/>
          <w:iCs/>
          <w:sz w:val="24"/>
          <w:szCs w:val="24"/>
          <w:rtl/>
        </w:rPr>
        <w:t>'</w:t>
      </w:r>
      <w:r w:rsidRPr="00223C88">
        <w:rPr>
          <w:rFonts w:asciiTheme="minorBidi" w:hAnsiTheme="minorBidi"/>
          <w:sz w:val="24"/>
          <w:szCs w:val="24"/>
          <w:rtl/>
        </w:rPr>
        <w:t>.</w:t>
      </w:r>
    </w:p>
    <w:p w:rsidR="00215683" w:rsidRPr="00223C88" w:rsidRDefault="00215683" w:rsidP="00215683">
      <w:pPr>
        <w:jc w:val="both"/>
        <w:rPr>
          <w:rFonts w:asciiTheme="minorBidi" w:hAnsiTheme="minorBidi"/>
          <w:rtl/>
        </w:rPr>
      </w:pPr>
      <w:r w:rsidRPr="00223C88">
        <w:rPr>
          <w:rFonts w:asciiTheme="minorBidi" w:hAnsiTheme="minorBidi"/>
          <w:rtl/>
        </w:rPr>
        <w:t>דינים אלה מסבירים היטב את סיפור שָׂרַי ונתינת "</w:t>
      </w:r>
      <w:r w:rsidRPr="00223C88">
        <w:rPr>
          <w:rFonts w:asciiTheme="minorBidi" w:hAnsiTheme="minorBidi"/>
          <w:b/>
          <w:bCs/>
          <w:rtl/>
        </w:rPr>
        <w:t>הגר המצרית שפחתהּ ... לאברם אישהּ לו לאשה</w:t>
      </w:r>
      <w:r w:rsidRPr="00223C88">
        <w:rPr>
          <w:rFonts w:asciiTheme="minorBidi" w:hAnsiTheme="minorBidi"/>
          <w:rtl/>
        </w:rPr>
        <w:t>" (בראשית ט"ז, ג), לפרטי פרטים.</w:t>
      </w:r>
    </w:p>
    <w:p w:rsidR="00215683" w:rsidRDefault="00215683" w:rsidP="00215683">
      <w:pPr>
        <w:jc w:val="both"/>
        <w:rPr>
          <w:rFonts w:asciiTheme="minorBidi" w:hAnsiTheme="minorBidi"/>
          <w:sz w:val="24"/>
          <w:szCs w:val="24"/>
          <w:rtl/>
        </w:rPr>
      </w:pPr>
      <w:r w:rsidRPr="00223C88">
        <w:rPr>
          <w:rFonts w:asciiTheme="minorBidi" w:hAnsiTheme="minorBidi"/>
          <w:sz w:val="24"/>
          <w:szCs w:val="24"/>
          <w:rtl/>
        </w:rPr>
        <w:t>2. מעמדם של בני א</w:t>
      </w:r>
      <w:r>
        <w:rPr>
          <w:rFonts w:asciiTheme="minorBidi" w:hAnsiTheme="minorBidi" w:hint="cs"/>
          <w:sz w:val="24"/>
          <w:szCs w:val="24"/>
          <w:rtl/>
        </w:rPr>
        <w:t>ָ</w:t>
      </w:r>
      <w:r w:rsidRPr="00223C88">
        <w:rPr>
          <w:rFonts w:asciiTheme="minorBidi" w:hAnsiTheme="minorBidi"/>
          <w:sz w:val="24"/>
          <w:szCs w:val="24"/>
          <w:rtl/>
        </w:rPr>
        <w:t>מ</w:t>
      </w:r>
      <w:r>
        <w:rPr>
          <w:rFonts w:asciiTheme="minorBidi" w:hAnsiTheme="minorBidi" w:hint="cs"/>
          <w:sz w:val="24"/>
          <w:szCs w:val="24"/>
          <w:rtl/>
        </w:rPr>
        <w:t>ָ</w:t>
      </w:r>
      <w:r w:rsidRPr="00223C88">
        <w:rPr>
          <w:rFonts w:asciiTheme="minorBidi" w:hAnsiTheme="minorBidi"/>
          <w:sz w:val="24"/>
          <w:szCs w:val="24"/>
          <w:rtl/>
        </w:rPr>
        <w:t>ה לענין ירושה ונחלה תלוי באב (ח</w:t>
      </w:r>
      <w:r>
        <w:rPr>
          <w:rFonts w:asciiTheme="minorBidi" w:hAnsiTheme="minorBidi" w:hint="cs"/>
          <w:sz w:val="24"/>
          <w:szCs w:val="24"/>
          <w:rtl/>
        </w:rPr>
        <w:t>ַ'</w:t>
      </w:r>
      <w:r w:rsidRPr="00223C88">
        <w:rPr>
          <w:rFonts w:asciiTheme="minorBidi" w:hAnsiTheme="minorBidi"/>
          <w:sz w:val="24"/>
          <w:szCs w:val="24"/>
          <w:rtl/>
        </w:rPr>
        <w:t>מו</w:t>
      </w:r>
      <w:r>
        <w:rPr>
          <w:rFonts w:asciiTheme="minorBidi" w:hAnsiTheme="minorBidi" w:hint="cs"/>
          <w:sz w:val="24"/>
          <w:szCs w:val="24"/>
          <w:rtl/>
        </w:rPr>
        <w:t>ּ</w:t>
      </w:r>
      <w:r w:rsidRPr="00223C88">
        <w:rPr>
          <w:rFonts w:asciiTheme="minorBidi" w:hAnsiTheme="minorBidi"/>
          <w:sz w:val="24"/>
          <w:szCs w:val="24"/>
          <w:rtl/>
        </w:rPr>
        <w:t>ר</w:t>
      </w:r>
      <w:r>
        <w:rPr>
          <w:rFonts w:asciiTheme="minorBidi" w:hAnsiTheme="minorBidi" w:hint="cs"/>
          <w:sz w:val="24"/>
          <w:szCs w:val="24"/>
          <w:rtl/>
        </w:rPr>
        <w:t>ַ</w:t>
      </w:r>
      <w:r w:rsidRPr="00223C88">
        <w:rPr>
          <w:rFonts w:asciiTheme="minorBidi" w:hAnsiTheme="minorBidi"/>
          <w:sz w:val="24"/>
          <w:szCs w:val="24"/>
          <w:rtl/>
        </w:rPr>
        <w:t>ב</w:t>
      </w:r>
      <w:r>
        <w:rPr>
          <w:rFonts w:asciiTheme="minorBidi" w:hAnsiTheme="minorBidi" w:hint="cs"/>
          <w:sz w:val="24"/>
          <w:szCs w:val="24"/>
          <w:rtl/>
        </w:rPr>
        <w:t>ּ</w:t>
      </w:r>
      <w:r w:rsidRPr="00223C88">
        <w:rPr>
          <w:rFonts w:asciiTheme="minorBidi" w:hAnsiTheme="minorBidi"/>
          <w:sz w:val="24"/>
          <w:szCs w:val="24"/>
          <w:rtl/>
        </w:rPr>
        <w:t xml:space="preserve">י 171-170): </w:t>
      </w:r>
    </w:p>
    <w:p w:rsidR="00215683" w:rsidRDefault="00215683" w:rsidP="00215683">
      <w:pPr>
        <w:jc w:val="both"/>
        <w:rPr>
          <w:rFonts w:asciiTheme="minorBidi" w:hAnsiTheme="minorBidi"/>
          <w:sz w:val="24"/>
          <w:szCs w:val="24"/>
          <w:rtl/>
        </w:rPr>
      </w:pPr>
      <w:r w:rsidRPr="005A79D4">
        <w:rPr>
          <w:rFonts w:asciiTheme="minorBidi" w:hAnsiTheme="minorBidi"/>
          <w:i/>
          <w:iCs/>
          <w:sz w:val="24"/>
          <w:szCs w:val="24"/>
          <w:rtl/>
        </w:rPr>
        <w:t>'</w:t>
      </w:r>
      <w:r w:rsidRPr="005A79D4">
        <w:rPr>
          <w:rFonts w:asciiTheme="minorBidi" w:hAnsiTheme="minorBidi"/>
          <w:b/>
          <w:bCs/>
          <w:i/>
          <w:iCs/>
          <w:sz w:val="24"/>
          <w:szCs w:val="24"/>
          <w:rtl/>
        </w:rPr>
        <w:t>אם האב בחייו לבני האמה 'בָּנַי' יקרא, ועם בני אשתו ימנה אותם – אחר שהאב לגורלו ילך, ברכוש בית האב בשווה יחלוקו, והבכור מן האשה חלקו</w:t>
      </w:r>
      <w:r w:rsidRPr="00223C88">
        <w:rPr>
          <w:rFonts w:asciiTheme="minorBidi" w:hAnsiTheme="minorBidi"/>
          <w:sz w:val="24"/>
          <w:szCs w:val="24"/>
          <w:rtl/>
        </w:rPr>
        <w:t xml:space="preserve"> (ראשון) </w:t>
      </w:r>
      <w:r w:rsidRPr="005A79D4">
        <w:rPr>
          <w:rFonts w:asciiTheme="minorBidi" w:hAnsiTheme="minorBidi"/>
          <w:b/>
          <w:bCs/>
          <w:i/>
          <w:iCs/>
          <w:sz w:val="24"/>
          <w:szCs w:val="24"/>
          <w:rtl/>
        </w:rPr>
        <w:t>יבחר ויקח. אבל אם האב בחייו, לבני האמה 'בָּנַי' לא יקרא – לאחר שהאב לגורלו ילך, ברכוש בית האב לא יחלוקו; דרור לאמה ולבניה ייקרא...</w:t>
      </w:r>
      <w:r w:rsidRPr="005A79D4">
        <w:rPr>
          <w:rFonts w:asciiTheme="minorBidi" w:hAnsiTheme="minorBidi"/>
          <w:i/>
          <w:iCs/>
          <w:sz w:val="24"/>
          <w:szCs w:val="24"/>
          <w:rtl/>
        </w:rPr>
        <w:t>'</w:t>
      </w:r>
      <w:r w:rsidRPr="00223C88">
        <w:rPr>
          <w:rFonts w:asciiTheme="minorBidi" w:hAnsiTheme="minorBidi"/>
          <w:sz w:val="24"/>
          <w:szCs w:val="24"/>
          <w:rtl/>
        </w:rPr>
        <w:t xml:space="preserve">. </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 xml:space="preserve">מדינים אלה ברור ההבדל שבין ישמעאל ובני קטורה ילדי אברהם ובין דן ונפתלי, גד ואשר ילדי יעקב: </w:t>
      </w:r>
      <w:r w:rsidRPr="001D0B9B">
        <w:rPr>
          <w:rFonts w:asciiTheme="minorBidi" w:hAnsiTheme="minorBidi"/>
          <w:sz w:val="24"/>
          <w:szCs w:val="24"/>
          <w:rtl/>
        </w:rPr>
        <w:t xml:space="preserve">יעקב בחייו כינה את בני בלהה וזלפה 'בָּנַי' ומנה אותם עם בני רחל ולאה, ולכן הם הפכו לבנים יורשי נחלה, חלק בלתי נפרד בשנים-עשר בני יעקב, שבטי ישראל </w:t>
      </w:r>
      <w:r w:rsidRPr="00223C88">
        <w:rPr>
          <w:rFonts w:asciiTheme="minorBidi" w:hAnsiTheme="minorBidi"/>
          <w:sz w:val="24"/>
          <w:szCs w:val="24"/>
          <w:rtl/>
        </w:rPr>
        <w:t xml:space="preserve">– כך אנו מוצאים ברשימות בני יעקב בספר בראשית (ל"ה, כג-כו; מ"ו, ה-כז), וכך מפורש בברכות יעקב לכל בניו (בראשית מ"ט). </w:t>
      </w:r>
    </w:p>
    <w:p w:rsidR="00215683" w:rsidRDefault="00215683" w:rsidP="00215683">
      <w:pPr>
        <w:jc w:val="both"/>
        <w:rPr>
          <w:rFonts w:asciiTheme="minorBidi" w:hAnsiTheme="minorBidi"/>
          <w:sz w:val="24"/>
          <w:szCs w:val="24"/>
          <w:rtl/>
        </w:rPr>
      </w:pPr>
      <w:r>
        <w:rPr>
          <w:rFonts w:asciiTheme="minorBidi" w:hAnsiTheme="minorBidi" w:hint="cs"/>
          <w:sz w:val="24"/>
          <w:szCs w:val="24"/>
          <w:rtl/>
        </w:rPr>
        <w:t>3</w:t>
      </w:r>
      <w:r w:rsidRPr="00223C88">
        <w:rPr>
          <w:rFonts w:asciiTheme="minorBidi" w:hAnsiTheme="minorBidi"/>
          <w:sz w:val="24"/>
          <w:szCs w:val="24"/>
          <w:rtl/>
        </w:rPr>
        <w:t xml:space="preserve">. </w:t>
      </w:r>
      <w:r w:rsidRPr="001D0B9B">
        <w:rPr>
          <w:rFonts w:asciiTheme="minorBidi" w:hAnsiTheme="minorBidi"/>
          <w:sz w:val="24"/>
          <w:szCs w:val="24"/>
          <w:rtl/>
        </w:rPr>
        <w:t>הרחקת בן בכור מבכורתו נאסרה בפירוש בתורת משה</w:t>
      </w:r>
      <w:r w:rsidRPr="00223C88">
        <w:rPr>
          <w:rFonts w:asciiTheme="minorBidi" w:hAnsiTheme="minorBidi"/>
          <w:sz w:val="24"/>
          <w:szCs w:val="24"/>
          <w:rtl/>
        </w:rPr>
        <w:t xml:space="preserve"> (דברים כ"א, טו-יז), עם רמזים ברורים ליעקב ונשותיו </w:t>
      </w:r>
      <w:r w:rsidRPr="001D0B9B">
        <w:rPr>
          <w:rFonts w:asciiTheme="minorBidi" w:hAnsiTheme="minorBidi"/>
          <w:b/>
          <w:bCs/>
          <w:sz w:val="24"/>
          <w:szCs w:val="24"/>
          <w:rtl/>
        </w:rPr>
        <w:t>"האהובה והשנואה"</w:t>
      </w:r>
      <w:r>
        <w:rPr>
          <w:rFonts w:asciiTheme="minorBidi" w:hAnsiTheme="minorBidi"/>
          <w:b/>
          <w:bCs/>
          <w:sz w:val="24"/>
          <w:szCs w:val="24"/>
          <w:rtl/>
        </w:rPr>
        <w:t>–</w:t>
      </w:r>
      <w:r w:rsidRPr="001D0B9B">
        <w:rPr>
          <w:rFonts w:asciiTheme="minorBidi" w:hAnsiTheme="minorBidi"/>
          <w:b/>
          <w:bCs/>
          <w:sz w:val="24"/>
          <w:szCs w:val="24"/>
          <w:rtl/>
        </w:rPr>
        <w:t>"ויאהב יעקב את רחל"</w:t>
      </w:r>
      <w:r>
        <w:rPr>
          <w:rFonts w:asciiTheme="minorBidi" w:hAnsiTheme="minorBidi" w:hint="cs"/>
          <w:sz w:val="24"/>
          <w:szCs w:val="24"/>
          <w:rtl/>
        </w:rPr>
        <w:t>(</w:t>
      </w:r>
      <w:r w:rsidRPr="001D0B9B">
        <w:rPr>
          <w:rFonts w:asciiTheme="minorBidi" w:hAnsiTheme="minorBidi"/>
          <w:sz w:val="24"/>
          <w:szCs w:val="24"/>
          <w:rtl/>
        </w:rPr>
        <w:t>בראשית כ"ט, יח</w:t>
      </w:r>
      <w:r>
        <w:rPr>
          <w:rFonts w:asciiTheme="minorBidi" w:hAnsiTheme="minorBidi" w:hint="cs"/>
          <w:sz w:val="24"/>
          <w:szCs w:val="24"/>
          <w:rtl/>
        </w:rPr>
        <w:t>)</w:t>
      </w:r>
      <w:r w:rsidRPr="001D0B9B">
        <w:rPr>
          <w:rFonts w:asciiTheme="minorBidi" w:hAnsiTheme="minorBidi"/>
          <w:sz w:val="24"/>
          <w:szCs w:val="24"/>
          <w:rtl/>
        </w:rPr>
        <w:t xml:space="preserve">; </w:t>
      </w:r>
      <w:r w:rsidRPr="001D0B9B">
        <w:rPr>
          <w:rFonts w:asciiTheme="minorBidi" w:hAnsiTheme="minorBidi"/>
          <w:b/>
          <w:bCs/>
          <w:sz w:val="24"/>
          <w:szCs w:val="24"/>
          <w:rtl/>
        </w:rPr>
        <w:t>"וירא ה' כי שנואה לאה, ויפתח את ר</w:t>
      </w:r>
      <w:r>
        <w:rPr>
          <w:rFonts w:asciiTheme="minorBidi" w:hAnsiTheme="minorBidi" w:hint="cs"/>
          <w:b/>
          <w:bCs/>
          <w:sz w:val="24"/>
          <w:szCs w:val="24"/>
          <w:rtl/>
        </w:rPr>
        <w:t>ַ</w:t>
      </w:r>
      <w:r w:rsidRPr="001D0B9B">
        <w:rPr>
          <w:rFonts w:asciiTheme="minorBidi" w:hAnsiTheme="minorBidi"/>
          <w:b/>
          <w:bCs/>
          <w:sz w:val="24"/>
          <w:szCs w:val="24"/>
          <w:rtl/>
        </w:rPr>
        <w:t>ח</w:t>
      </w:r>
      <w:r>
        <w:rPr>
          <w:rFonts w:asciiTheme="minorBidi" w:hAnsiTheme="minorBidi" w:hint="cs"/>
          <w:b/>
          <w:bCs/>
          <w:sz w:val="24"/>
          <w:szCs w:val="24"/>
          <w:rtl/>
        </w:rPr>
        <w:t>ְ</w:t>
      </w:r>
      <w:r w:rsidRPr="001D0B9B">
        <w:rPr>
          <w:rFonts w:asciiTheme="minorBidi" w:hAnsiTheme="minorBidi"/>
          <w:b/>
          <w:bCs/>
          <w:sz w:val="24"/>
          <w:szCs w:val="24"/>
          <w:rtl/>
        </w:rPr>
        <w:t>מ</w:t>
      </w:r>
      <w:r>
        <w:rPr>
          <w:rFonts w:asciiTheme="minorBidi" w:hAnsiTheme="minorBidi" w:hint="cs"/>
          <w:b/>
          <w:bCs/>
          <w:sz w:val="24"/>
          <w:szCs w:val="24"/>
          <w:rtl/>
        </w:rPr>
        <w:t>ָ</w:t>
      </w:r>
      <w:r w:rsidRPr="001D0B9B">
        <w:rPr>
          <w:rFonts w:asciiTheme="minorBidi" w:hAnsiTheme="minorBidi"/>
          <w:b/>
          <w:bCs/>
          <w:sz w:val="24"/>
          <w:szCs w:val="24"/>
          <w:rtl/>
        </w:rPr>
        <w:t>ה</w:t>
      </w:r>
      <w:r>
        <w:rPr>
          <w:rFonts w:asciiTheme="minorBidi" w:hAnsiTheme="minorBidi" w:hint="cs"/>
          <w:b/>
          <w:bCs/>
          <w:sz w:val="24"/>
          <w:szCs w:val="24"/>
          <w:rtl/>
        </w:rPr>
        <w:t>ּ</w:t>
      </w:r>
      <w:r w:rsidRPr="001D0B9B">
        <w:rPr>
          <w:rFonts w:asciiTheme="minorBidi" w:hAnsiTheme="minorBidi"/>
          <w:b/>
          <w:bCs/>
          <w:sz w:val="24"/>
          <w:szCs w:val="24"/>
          <w:rtl/>
        </w:rPr>
        <w:t>"</w:t>
      </w:r>
      <w:r>
        <w:rPr>
          <w:rFonts w:asciiTheme="minorBidi" w:hAnsiTheme="minorBidi" w:hint="cs"/>
          <w:sz w:val="24"/>
          <w:szCs w:val="24"/>
          <w:rtl/>
        </w:rPr>
        <w:t>(</w:t>
      </w:r>
      <w:r w:rsidRPr="00223C88">
        <w:rPr>
          <w:rFonts w:asciiTheme="minorBidi" w:hAnsiTheme="minorBidi"/>
          <w:sz w:val="24"/>
          <w:szCs w:val="24"/>
          <w:rtl/>
        </w:rPr>
        <w:t>שם, לא). משפט התורה – "</w:t>
      </w:r>
      <w:r w:rsidRPr="00364D20">
        <w:rPr>
          <w:rFonts w:asciiTheme="minorBidi" w:hAnsiTheme="minorBidi"/>
          <w:b/>
          <w:bCs/>
          <w:sz w:val="24"/>
          <w:szCs w:val="24"/>
          <w:rtl/>
        </w:rPr>
        <w:t>לא יוכל לבכר את בן האהובה על פני בן השנואה, הבכר</w:t>
      </w:r>
      <w:r w:rsidRPr="001D0B9B">
        <w:rPr>
          <w:rFonts w:asciiTheme="minorBidi" w:hAnsiTheme="minorBidi"/>
          <w:b/>
          <w:bCs/>
          <w:sz w:val="24"/>
          <w:szCs w:val="24"/>
          <w:rtl/>
        </w:rPr>
        <w:t xml:space="preserve">; כי את הבכר בן השנואה יכיר לתת לו פי שנים בכל אשר ימצא לו, כי הוא </w:t>
      </w:r>
      <w:r w:rsidRPr="00223C88">
        <w:rPr>
          <w:rFonts w:asciiTheme="minorBidi" w:hAnsiTheme="minorBidi"/>
          <w:b/>
          <w:bCs/>
          <w:sz w:val="24"/>
          <w:szCs w:val="24"/>
          <w:rtl/>
        </w:rPr>
        <w:t>ראשית אנו</w:t>
      </w:r>
      <w:r w:rsidRPr="001D0B9B">
        <w:rPr>
          <w:rFonts w:asciiTheme="minorBidi" w:hAnsiTheme="minorBidi"/>
          <w:b/>
          <w:bCs/>
          <w:sz w:val="24"/>
          <w:szCs w:val="24"/>
          <w:rtl/>
        </w:rPr>
        <w:t>, לו משפט הבכרה"</w:t>
      </w:r>
      <w:r w:rsidRPr="00223C88">
        <w:rPr>
          <w:rFonts w:asciiTheme="minorBidi" w:hAnsiTheme="minorBidi"/>
          <w:sz w:val="24"/>
          <w:szCs w:val="24"/>
          <w:rtl/>
        </w:rPr>
        <w:t xml:space="preserve"> – רומז כמעט במפורש נגד</w:t>
      </w:r>
      <w:r>
        <w:rPr>
          <w:rFonts w:asciiTheme="minorBidi" w:hAnsiTheme="minorBidi" w:hint="cs"/>
          <w:sz w:val="24"/>
          <w:szCs w:val="24"/>
          <w:rtl/>
        </w:rPr>
        <w:t xml:space="preserve"> כל הסתמכות על הכרעת</w:t>
      </w:r>
      <w:r w:rsidRPr="00223C88">
        <w:rPr>
          <w:rFonts w:asciiTheme="minorBidi" w:hAnsiTheme="minorBidi"/>
          <w:sz w:val="24"/>
          <w:szCs w:val="24"/>
          <w:rtl/>
        </w:rPr>
        <w:t xml:space="preserve">ו של יעקב אבינו </w:t>
      </w:r>
      <w:r>
        <w:rPr>
          <w:rFonts w:asciiTheme="minorBidi" w:hAnsiTheme="minorBidi"/>
          <w:sz w:val="24"/>
          <w:szCs w:val="24"/>
          <w:rtl/>
        </w:rPr>
        <w:t>–</w:t>
      </w:r>
      <w:r w:rsidRPr="001D0B9B">
        <w:rPr>
          <w:rFonts w:asciiTheme="minorBidi" w:hAnsiTheme="minorBidi"/>
          <w:b/>
          <w:bCs/>
          <w:sz w:val="24"/>
          <w:szCs w:val="24"/>
          <w:rtl/>
        </w:rPr>
        <w:t>"ראובן בכרי אתה, כחי ו</w:t>
      </w:r>
      <w:r w:rsidRPr="00223C88">
        <w:rPr>
          <w:rFonts w:asciiTheme="minorBidi" w:hAnsiTheme="minorBidi"/>
          <w:b/>
          <w:bCs/>
          <w:sz w:val="24"/>
          <w:szCs w:val="24"/>
          <w:rtl/>
        </w:rPr>
        <w:t>ראשית אוני</w:t>
      </w:r>
      <w:r w:rsidRPr="001D0B9B">
        <w:rPr>
          <w:rFonts w:asciiTheme="minorBidi" w:hAnsiTheme="minorBidi"/>
          <w:b/>
          <w:bCs/>
          <w:sz w:val="24"/>
          <w:szCs w:val="24"/>
          <w:rtl/>
        </w:rPr>
        <w:t>... פחז כמים אל תותר..."</w:t>
      </w:r>
      <w:r>
        <w:rPr>
          <w:rFonts w:asciiTheme="minorBidi" w:hAnsiTheme="minorBidi" w:hint="cs"/>
          <w:sz w:val="24"/>
          <w:szCs w:val="24"/>
          <w:rtl/>
        </w:rPr>
        <w:t xml:space="preserve"> (בראשית מ"ט, ג)</w:t>
      </w:r>
      <w:r>
        <w:rPr>
          <w:rFonts w:asciiTheme="minorBidi" w:hAnsiTheme="minorBidi"/>
          <w:sz w:val="24"/>
          <w:szCs w:val="24"/>
          <w:rtl/>
        </w:rPr>
        <w:t>.</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איך אפשר להבין את הכרעתו של יעקב, שמשפט הבכורה בתורה נראה כסותר אותה?</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גם כאן נמצאת התשובה בדיני ח</w:t>
      </w:r>
      <w:r>
        <w:rPr>
          <w:rFonts w:asciiTheme="minorBidi" w:hAnsiTheme="minorBidi" w:hint="cs"/>
          <w:sz w:val="24"/>
          <w:szCs w:val="24"/>
          <w:rtl/>
        </w:rPr>
        <w:t>ַ</w:t>
      </w:r>
      <w:r w:rsidRPr="00223C88">
        <w:rPr>
          <w:rFonts w:asciiTheme="minorBidi" w:hAnsiTheme="minorBidi"/>
          <w:sz w:val="24"/>
          <w:szCs w:val="24"/>
          <w:rtl/>
        </w:rPr>
        <w:t>'מו</w:t>
      </w:r>
      <w:r>
        <w:rPr>
          <w:rFonts w:asciiTheme="minorBidi" w:hAnsiTheme="minorBidi" w:hint="cs"/>
          <w:sz w:val="24"/>
          <w:szCs w:val="24"/>
          <w:rtl/>
        </w:rPr>
        <w:t>ּ</w:t>
      </w:r>
      <w:r w:rsidRPr="00223C88">
        <w:rPr>
          <w:rFonts w:asciiTheme="minorBidi" w:hAnsiTheme="minorBidi"/>
          <w:sz w:val="24"/>
          <w:szCs w:val="24"/>
          <w:rtl/>
        </w:rPr>
        <w:t>ר</w:t>
      </w:r>
      <w:r>
        <w:rPr>
          <w:rFonts w:asciiTheme="minorBidi" w:hAnsiTheme="minorBidi" w:hint="cs"/>
          <w:sz w:val="24"/>
          <w:szCs w:val="24"/>
          <w:rtl/>
        </w:rPr>
        <w:t>ַ</w:t>
      </w:r>
      <w:r w:rsidRPr="00223C88">
        <w:rPr>
          <w:rFonts w:asciiTheme="minorBidi" w:hAnsiTheme="minorBidi"/>
          <w:sz w:val="24"/>
          <w:szCs w:val="24"/>
          <w:rtl/>
        </w:rPr>
        <w:t>ב</w:t>
      </w:r>
      <w:r>
        <w:rPr>
          <w:rFonts w:asciiTheme="minorBidi" w:hAnsiTheme="minorBidi" w:hint="cs"/>
          <w:sz w:val="24"/>
          <w:szCs w:val="24"/>
          <w:rtl/>
        </w:rPr>
        <w:t>ּ</w:t>
      </w:r>
      <w:r w:rsidRPr="00223C88">
        <w:rPr>
          <w:rFonts w:asciiTheme="minorBidi" w:hAnsiTheme="minorBidi"/>
          <w:sz w:val="24"/>
          <w:szCs w:val="24"/>
          <w:rtl/>
        </w:rPr>
        <w:t xml:space="preserve">י (169-168) שנהגו בארץ מוצא האבות: </w:t>
      </w:r>
    </w:p>
    <w:p w:rsidR="00215683" w:rsidRPr="00223C88" w:rsidRDefault="00215683" w:rsidP="00215683">
      <w:pPr>
        <w:jc w:val="both"/>
        <w:rPr>
          <w:rFonts w:asciiTheme="minorBidi" w:hAnsiTheme="minorBidi"/>
          <w:sz w:val="24"/>
          <w:szCs w:val="24"/>
          <w:rtl/>
        </w:rPr>
      </w:pPr>
      <w:r w:rsidRPr="001D0B9B">
        <w:rPr>
          <w:rFonts w:asciiTheme="minorBidi" w:hAnsiTheme="minorBidi"/>
          <w:i/>
          <w:iCs/>
          <w:sz w:val="24"/>
          <w:szCs w:val="24"/>
          <w:rtl/>
        </w:rPr>
        <w:t>'</w:t>
      </w:r>
      <w:r w:rsidRPr="001D0B9B">
        <w:rPr>
          <w:rFonts w:asciiTheme="minorBidi" w:hAnsiTheme="minorBidi"/>
          <w:b/>
          <w:bCs/>
          <w:i/>
          <w:iCs/>
          <w:sz w:val="24"/>
          <w:szCs w:val="24"/>
          <w:rtl/>
        </w:rPr>
        <w:t>אם איש בבנו יתן פניו לעקור אותו</w:t>
      </w:r>
      <w:r w:rsidRPr="00223C88">
        <w:rPr>
          <w:rFonts w:asciiTheme="minorBidi" w:hAnsiTheme="minorBidi"/>
          <w:sz w:val="24"/>
          <w:szCs w:val="24"/>
          <w:rtl/>
        </w:rPr>
        <w:t xml:space="preserve">(ממעמדו כיורש)... </w:t>
      </w:r>
      <w:r w:rsidRPr="001D0B9B">
        <w:rPr>
          <w:rFonts w:asciiTheme="minorBidi" w:hAnsiTheme="minorBidi"/>
          <w:b/>
          <w:bCs/>
          <w:i/>
          <w:iCs/>
          <w:sz w:val="24"/>
          <w:szCs w:val="24"/>
          <w:rtl/>
        </w:rPr>
        <w:t>הדיינים את עניינו יחקרו... אם הבן חֵטְא כבד עוקר ירושה נגד אביו נשא – בפעם הראשונה את פניו ישאו</w:t>
      </w:r>
      <w:r w:rsidRPr="00223C88">
        <w:rPr>
          <w:rFonts w:asciiTheme="minorBidi" w:hAnsiTheme="minorBidi"/>
          <w:sz w:val="24"/>
          <w:szCs w:val="24"/>
          <w:rtl/>
        </w:rPr>
        <w:t xml:space="preserve">(לסלוח לו); </w:t>
      </w:r>
      <w:r w:rsidRPr="001D0B9B">
        <w:rPr>
          <w:rFonts w:asciiTheme="minorBidi" w:hAnsiTheme="minorBidi"/>
          <w:b/>
          <w:bCs/>
          <w:i/>
          <w:iCs/>
          <w:sz w:val="24"/>
          <w:szCs w:val="24"/>
          <w:rtl/>
        </w:rPr>
        <w:t>אם בפעם השניה חֵטְא כבד עוקר ירושה ישא – האב את בנו ממעמד היורש יעקור</w:t>
      </w:r>
      <w:r w:rsidRPr="001D0B9B">
        <w:rPr>
          <w:rFonts w:asciiTheme="minorBidi" w:hAnsiTheme="minorBidi"/>
          <w:i/>
          <w:iCs/>
          <w:sz w:val="24"/>
          <w:szCs w:val="24"/>
          <w:rtl/>
        </w:rPr>
        <w:t>'</w:t>
      </w:r>
      <w:r w:rsidRPr="00223C88">
        <w:rPr>
          <w:rFonts w:asciiTheme="minorBidi" w:hAnsiTheme="minorBidi"/>
          <w:sz w:val="24"/>
          <w:szCs w:val="24"/>
          <w:rtl/>
        </w:rPr>
        <w:t xml:space="preserve">. </w:t>
      </w:r>
    </w:p>
    <w:p w:rsidR="00215683" w:rsidRPr="00223C88" w:rsidRDefault="00215683" w:rsidP="00215683">
      <w:pPr>
        <w:jc w:val="both"/>
        <w:rPr>
          <w:rFonts w:asciiTheme="minorBidi" w:hAnsiTheme="minorBidi"/>
          <w:sz w:val="24"/>
          <w:szCs w:val="24"/>
          <w:rtl/>
        </w:rPr>
      </w:pPr>
      <w:r w:rsidRPr="00223C88">
        <w:rPr>
          <w:rFonts w:asciiTheme="minorBidi" w:hAnsiTheme="minorBidi"/>
          <w:sz w:val="24"/>
          <w:szCs w:val="24"/>
          <w:rtl/>
        </w:rPr>
        <w:t>יעקב, אם כן, נהג על פי הדין הנוהג בימיו</w:t>
      </w:r>
      <w:r>
        <w:rPr>
          <w:rFonts w:asciiTheme="minorBidi" w:hAnsiTheme="minorBidi" w:hint="cs"/>
          <w:sz w:val="24"/>
          <w:szCs w:val="24"/>
          <w:rtl/>
        </w:rPr>
        <w:t xml:space="preserve"> בארצות מוצא האבות</w:t>
      </w:r>
      <w:r w:rsidRPr="00223C88">
        <w:rPr>
          <w:rFonts w:asciiTheme="minorBidi" w:hAnsiTheme="minorBidi"/>
          <w:sz w:val="24"/>
          <w:szCs w:val="24"/>
          <w:rtl/>
        </w:rPr>
        <w:t>.</w:t>
      </w:r>
    </w:p>
    <w:p w:rsidR="006F4612" w:rsidRPr="008913C2" w:rsidRDefault="006F4612">
      <w:pPr>
        <w:bidi w:val="0"/>
        <w:rPr>
          <w:rFonts w:cs="Narkisim"/>
          <w:rtl/>
        </w:rPr>
      </w:pPr>
    </w:p>
    <w:p w:rsidR="006F4612" w:rsidRPr="008913C2" w:rsidRDefault="006F4612">
      <w:pPr>
        <w:bidi w:val="0"/>
        <w:rPr>
          <w:rFonts w:cs="Narkisim"/>
        </w:rPr>
      </w:pPr>
      <w:r>
        <w:rPr>
          <w:rFonts w:ascii="Narkisim" w:hAnsi="Narkisim" w:cs="Narkisim"/>
          <w:rtl/>
        </w:rPr>
        <w:br w:type="page"/>
      </w:r>
    </w:p>
    <w:p w:rsidR="000A5D7A" w:rsidRDefault="000A5D7A" w:rsidP="00222828">
      <w:pPr>
        <w:spacing w:line="276" w:lineRule="auto"/>
        <w:rPr>
          <w:rFonts w:ascii="Narkisim" w:hAnsi="Narkisim" w:cs="Narkisim"/>
          <w:rtl/>
        </w:rPr>
      </w:pPr>
    </w:p>
    <w:p w:rsidR="008913C2" w:rsidRDefault="008913C2" w:rsidP="008913C2">
      <w:pPr>
        <w:pStyle w:val="a3"/>
        <w:numPr>
          <w:ilvl w:val="0"/>
          <w:numId w:val="1"/>
        </w:numPr>
        <w:rPr>
          <w:rFonts w:cs="David"/>
          <w:sz w:val="24"/>
          <w:szCs w:val="24"/>
        </w:rPr>
      </w:pPr>
      <w:r>
        <w:rPr>
          <w:rFonts w:cs="David" w:hint="cs"/>
          <w:sz w:val="24"/>
          <w:szCs w:val="24"/>
          <w:rtl/>
        </w:rPr>
        <w:t>מפת המזרח הקרוב הקדום</w:t>
      </w:r>
    </w:p>
    <w:p w:rsidR="008913C2" w:rsidRPr="000F3F7F" w:rsidRDefault="008913C2" w:rsidP="000F3F7F">
      <w:pPr>
        <w:pStyle w:val="a3"/>
        <w:ind w:left="368"/>
        <w:rPr>
          <w:rFonts w:cs="David"/>
          <w:rtl/>
        </w:rPr>
      </w:pPr>
      <w:r>
        <w:rPr>
          <w:rFonts w:cs="David" w:hint="cs"/>
          <w:rtl/>
        </w:rPr>
        <w:t>(מוקפות</w:t>
      </w:r>
      <w:r w:rsidRPr="00192EC0">
        <w:rPr>
          <w:rFonts w:cs="David" w:hint="cs"/>
          <w:rtl/>
        </w:rPr>
        <w:t xml:space="preserve"> ב</w:t>
      </w:r>
      <w:r w:rsidR="00923E52">
        <w:rPr>
          <w:rFonts w:cs="David" w:hint="cs"/>
          <w:rtl/>
        </w:rPr>
        <w:t>מלבן</w:t>
      </w:r>
      <w:r w:rsidRPr="00192EC0">
        <w:rPr>
          <w:rFonts w:cs="David"/>
          <w:rtl/>
        </w:rPr>
        <w:t>–</w:t>
      </w:r>
      <w:r w:rsidRPr="00192EC0">
        <w:rPr>
          <w:rFonts w:cs="David" w:hint="cs"/>
          <w:rtl/>
        </w:rPr>
        <w:t xml:space="preserve"> הערים בהן התגל</w:t>
      </w:r>
      <w:bookmarkStart w:id="0" w:name="_GoBack"/>
      <w:bookmarkEnd w:id="0"/>
      <w:r w:rsidRPr="00192EC0">
        <w:rPr>
          <w:rFonts w:cs="David" w:hint="cs"/>
          <w:rtl/>
        </w:rPr>
        <w:t xml:space="preserve">ו </w:t>
      </w:r>
      <w:r>
        <w:rPr>
          <w:rFonts w:cs="David" w:hint="cs"/>
          <w:rtl/>
        </w:rPr>
        <w:t>דינים</w:t>
      </w:r>
      <w:r w:rsidRPr="00192EC0">
        <w:rPr>
          <w:rFonts w:cs="David" w:hint="cs"/>
          <w:rtl/>
        </w:rPr>
        <w:t>מהמורשת המסופוטמית באלף השני לפנה"ס)</w:t>
      </w:r>
    </w:p>
    <w:tbl>
      <w:tblPr>
        <w:tblStyle w:val="af"/>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5"/>
        <w:gridCol w:w="8755"/>
      </w:tblGrid>
      <w:tr w:rsidR="00923E52" w:rsidTr="000F3F7F">
        <w:tc>
          <w:tcPr>
            <w:tcW w:w="1665" w:type="dxa"/>
          </w:tcPr>
          <w:p w:rsidR="00923E52" w:rsidRPr="000F3F7F" w:rsidRDefault="00923E52" w:rsidP="008913C2">
            <w:pPr>
              <w:rPr>
                <w:rFonts w:cs="David"/>
                <w:sz w:val="16"/>
                <w:szCs w:val="16"/>
                <w:rtl/>
              </w:rPr>
            </w:pPr>
            <w:r w:rsidRPr="000F3F7F">
              <w:rPr>
                <w:rFonts w:cs="David" w:hint="cs"/>
                <w:sz w:val="16"/>
                <w:szCs w:val="16"/>
                <w:rtl/>
              </w:rPr>
              <w:t>עיבוד: אריה בר-טוב</w:t>
            </w:r>
          </w:p>
          <w:p w:rsidR="000F3F7F" w:rsidRPr="000F3F7F" w:rsidRDefault="000F3F7F" w:rsidP="000F3F7F">
            <w:pPr>
              <w:rPr>
                <w:rFonts w:cs="David"/>
                <w:sz w:val="16"/>
                <w:szCs w:val="16"/>
                <w:rtl/>
              </w:rPr>
            </w:pPr>
            <w:r w:rsidRPr="000F3F7F">
              <w:rPr>
                <w:rFonts w:cs="David" w:hint="cs"/>
                <w:sz w:val="16"/>
                <w:szCs w:val="16"/>
                <w:rtl/>
              </w:rPr>
              <w:t>המפה לקוחה ברישיון אומנות חופשית מתוך ויקיפדיה</w:t>
            </w:r>
          </w:p>
        </w:tc>
        <w:tc>
          <w:tcPr>
            <w:tcW w:w="8755" w:type="dxa"/>
          </w:tcPr>
          <w:p w:rsidR="00923E52" w:rsidRDefault="00923E52" w:rsidP="00923E52">
            <w:pPr>
              <w:jc w:val="right"/>
              <w:rPr>
                <w:rFonts w:cs="David"/>
                <w:sz w:val="16"/>
                <w:szCs w:val="16"/>
                <w:rtl/>
              </w:rPr>
            </w:pPr>
            <w:r>
              <w:rPr>
                <w:rFonts w:cs="David"/>
                <w:noProof/>
                <w:sz w:val="16"/>
                <w:szCs w:val="16"/>
                <w:rtl/>
              </w:rPr>
              <w:drawing>
                <wp:inline distT="0" distB="0" distL="0" distR="0">
                  <wp:extent cx="5310673" cy="3916907"/>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המזרח הקדום.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2781" cy="3925838"/>
                          </a:xfrm>
                          <a:prstGeom prst="rect">
                            <a:avLst/>
                          </a:prstGeom>
                        </pic:spPr>
                      </pic:pic>
                    </a:graphicData>
                  </a:graphic>
                </wp:inline>
              </w:drawing>
            </w:r>
          </w:p>
        </w:tc>
      </w:tr>
    </w:tbl>
    <w:p w:rsidR="00923E52" w:rsidRDefault="00923E52" w:rsidP="008913C2">
      <w:pPr>
        <w:rPr>
          <w:rFonts w:cs="David"/>
          <w:sz w:val="16"/>
          <w:szCs w:val="16"/>
          <w:rtl/>
        </w:rPr>
      </w:pPr>
    </w:p>
    <w:p w:rsidR="008913C2" w:rsidRDefault="008913C2" w:rsidP="00222828">
      <w:pPr>
        <w:spacing w:line="276" w:lineRule="auto"/>
        <w:rPr>
          <w:rFonts w:ascii="Narkisim" w:hAnsi="Narkisim" w:cs="Narkisim"/>
          <w:rtl/>
        </w:rPr>
      </w:pPr>
    </w:p>
    <w:p w:rsidR="008913C2" w:rsidRPr="007A2DA7" w:rsidRDefault="008913C2" w:rsidP="00222828">
      <w:pPr>
        <w:spacing w:line="276" w:lineRule="auto"/>
        <w:rPr>
          <w:rFonts w:ascii="Narkisim" w:hAnsi="Narkisim" w:cs="Narkisim"/>
        </w:rPr>
      </w:pPr>
    </w:p>
    <w:sectPr w:rsidR="008913C2" w:rsidRPr="007A2DA7" w:rsidSect="00691576">
      <w:headerReference w:type="default" r:id="rId9"/>
      <w:pgSz w:w="11906" w:h="16838" w:code="9"/>
      <w:pgMar w:top="1247" w:right="851" w:bottom="1134" w:left="851" w:header="70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D70" w:rsidRDefault="00032D70" w:rsidP="00086C30">
      <w:pPr>
        <w:spacing w:after="0" w:line="240" w:lineRule="auto"/>
      </w:pPr>
      <w:r>
        <w:separator/>
      </w:r>
    </w:p>
  </w:endnote>
  <w:endnote w:type="continuationSeparator" w:id="1">
    <w:p w:rsidR="00032D70" w:rsidRDefault="00032D70" w:rsidP="00086C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D70" w:rsidRDefault="00032D70" w:rsidP="00086C30">
      <w:pPr>
        <w:spacing w:after="0" w:line="240" w:lineRule="auto"/>
      </w:pPr>
      <w:r>
        <w:separator/>
      </w:r>
    </w:p>
  </w:footnote>
  <w:footnote w:type="continuationSeparator" w:id="1">
    <w:p w:rsidR="00032D70" w:rsidRDefault="00032D70" w:rsidP="00086C30">
      <w:pPr>
        <w:spacing w:after="0" w:line="240" w:lineRule="auto"/>
      </w:pPr>
      <w:r>
        <w:continuationSeparator/>
      </w:r>
    </w:p>
  </w:footnote>
  <w:footnote w:id="2">
    <w:p w:rsidR="00215683" w:rsidRDefault="00215683" w:rsidP="00215683">
      <w:pPr>
        <w:pStyle w:val="ac"/>
        <w:jc w:val="both"/>
        <w:rPr>
          <w:rtl/>
        </w:rPr>
      </w:pPr>
      <w:r>
        <w:rPr>
          <w:rStyle w:val="ae"/>
        </w:rPr>
        <w:footnoteRef/>
      </w:r>
      <w:r w:rsidRPr="00707721">
        <w:rPr>
          <w:rFonts w:hint="cs"/>
          <w:rtl/>
        </w:rPr>
        <w:t xml:space="preserve">בשתי פרשיות השומרים בפרשת משפטים לא נאמר במפורש, לא </w:t>
      </w:r>
      <w:r w:rsidRPr="00707721">
        <w:rPr>
          <w:rFonts w:hint="cs"/>
          <w:b/>
          <w:bCs/>
          <w:rtl/>
        </w:rPr>
        <w:t>'שומר חינם'</w:t>
      </w:r>
      <w:r w:rsidRPr="00707721">
        <w:rPr>
          <w:rFonts w:hint="cs"/>
          <w:rtl/>
        </w:rPr>
        <w:t xml:space="preserve">, ולא </w:t>
      </w:r>
      <w:r w:rsidRPr="00707721">
        <w:rPr>
          <w:rFonts w:hint="cs"/>
          <w:b/>
          <w:bCs/>
          <w:rtl/>
        </w:rPr>
        <w:t>'שומר שכר'</w:t>
      </w:r>
      <w:r w:rsidRPr="00707721">
        <w:rPr>
          <w:rFonts w:hint="cs"/>
          <w:rtl/>
        </w:rPr>
        <w:t xml:space="preserve">, אלא שומר </w:t>
      </w:r>
      <w:r w:rsidRPr="00707721">
        <w:rPr>
          <w:rFonts w:hint="cs"/>
          <w:b/>
          <w:bCs/>
          <w:rtl/>
        </w:rPr>
        <w:t>"כסף וכלים"</w:t>
      </w:r>
      <w:r w:rsidRPr="00707721">
        <w:rPr>
          <w:rFonts w:hint="cs"/>
          <w:rtl/>
        </w:rPr>
        <w:t>, מול שומר בהמות; ההקבלה ליעקב אבינו מעלה אפשרות, שמושגים אלה לקוחים מיעקב; וראו בבא-מציעא צג ע"ב, ששואלת אם שומר שכר צריך לשמור כיעקב אבינו, או שיעקב שמר שמירה יתירה; ברור שהסוגיה מודעת להקבלה בין משפטי השומרים בפרשת משפטים, לבין סיפור השמירה של יעקב בצאן לבן.</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DA7" w:rsidRDefault="007A2DA7">
    <w:pPr>
      <w:pStyle w:val="a4"/>
    </w:pPr>
    <w:r>
      <w:rPr>
        <w:noProof/>
      </w:rPr>
      <w:drawing>
        <wp:anchor distT="0" distB="0" distL="114300" distR="114300" simplePos="0" relativeHeight="251658240" behindDoc="1" locked="0" layoutInCell="1" allowOverlap="1">
          <wp:simplePos x="0" y="0"/>
          <wp:positionH relativeFrom="column">
            <wp:posOffset>-508000</wp:posOffset>
          </wp:positionH>
          <wp:positionV relativeFrom="paragraph">
            <wp:posOffset>-450215</wp:posOffset>
          </wp:positionV>
          <wp:extent cx="7496220" cy="10602259"/>
          <wp:effectExtent l="0" t="0" r="0" b="889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03813" cy="1061299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71CD6"/>
    <w:multiLevelType w:val="hybridMultilevel"/>
    <w:tmpl w:val="FA80B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20"/>
  <w:characterSpacingControl w:val="doNotCompress"/>
  <w:hdrShapeDefaults>
    <o:shapedefaults v:ext="edit" spidmax="8194"/>
  </w:hdrShapeDefaults>
  <w:footnotePr>
    <w:footnote w:id="0"/>
    <w:footnote w:id="1"/>
  </w:footnotePr>
  <w:endnotePr>
    <w:endnote w:id="0"/>
    <w:endnote w:id="1"/>
  </w:endnotePr>
  <w:compat/>
  <w:rsids>
    <w:rsidRoot w:val="00086C30"/>
    <w:rsid w:val="00021B76"/>
    <w:rsid w:val="00032D70"/>
    <w:rsid w:val="00034B77"/>
    <w:rsid w:val="00086C30"/>
    <w:rsid w:val="0009519E"/>
    <w:rsid w:val="000A5D7A"/>
    <w:rsid w:val="000C35E2"/>
    <w:rsid w:val="000F3F7F"/>
    <w:rsid w:val="00160C0F"/>
    <w:rsid w:val="00163A4F"/>
    <w:rsid w:val="001D07C0"/>
    <w:rsid w:val="001E0A31"/>
    <w:rsid w:val="00215683"/>
    <w:rsid w:val="00222828"/>
    <w:rsid w:val="00276A34"/>
    <w:rsid w:val="002835AC"/>
    <w:rsid w:val="002E7A6C"/>
    <w:rsid w:val="003B623E"/>
    <w:rsid w:val="003D3814"/>
    <w:rsid w:val="00461972"/>
    <w:rsid w:val="004B4AD2"/>
    <w:rsid w:val="004C2ECE"/>
    <w:rsid w:val="004D3C4C"/>
    <w:rsid w:val="00556169"/>
    <w:rsid w:val="00641BAC"/>
    <w:rsid w:val="00691576"/>
    <w:rsid w:val="006A6179"/>
    <w:rsid w:val="006C40B5"/>
    <w:rsid w:val="006F4612"/>
    <w:rsid w:val="00772275"/>
    <w:rsid w:val="00784AC3"/>
    <w:rsid w:val="007A2DA7"/>
    <w:rsid w:val="007C3BE5"/>
    <w:rsid w:val="007C4920"/>
    <w:rsid w:val="00812621"/>
    <w:rsid w:val="008913C2"/>
    <w:rsid w:val="009142F6"/>
    <w:rsid w:val="00923E52"/>
    <w:rsid w:val="009A0D37"/>
    <w:rsid w:val="009E0DAB"/>
    <w:rsid w:val="00A31C04"/>
    <w:rsid w:val="00A40890"/>
    <w:rsid w:val="00A4135E"/>
    <w:rsid w:val="00A9015C"/>
    <w:rsid w:val="00AA1347"/>
    <w:rsid w:val="00AF61F2"/>
    <w:rsid w:val="00B01421"/>
    <w:rsid w:val="00B94185"/>
    <w:rsid w:val="00BC0C4F"/>
    <w:rsid w:val="00CB2E79"/>
    <w:rsid w:val="00CB6E78"/>
    <w:rsid w:val="00CC3F15"/>
    <w:rsid w:val="00CF54C6"/>
    <w:rsid w:val="00DD19AA"/>
    <w:rsid w:val="00E11D4D"/>
    <w:rsid w:val="00E40240"/>
    <w:rsid w:val="00E67B0F"/>
    <w:rsid w:val="00E81210"/>
    <w:rsid w:val="00E86232"/>
    <w:rsid w:val="00EB58C9"/>
    <w:rsid w:val="00F20930"/>
    <w:rsid w:val="00F21D2D"/>
    <w:rsid w:val="00FD2828"/>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D37"/>
    <w:pPr>
      <w:bidi/>
    </w:pPr>
  </w:style>
  <w:style w:type="paragraph" w:styleId="1">
    <w:name w:val="heading 1"/>
    <w:basedOn w:val="a"/>
    <w:next w:val="a"/>
    <w:link w:val="10"/>
    <w:uiPriority w:val="9"/>
    <w:qFormat/>
    <w:rsid w:val="009A0D3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A0D37"/>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9A0D37"/>
    <w:pPr>
      <w:ind w:left="720"/>
      <w:contextualSpacing/>
    </w:pPr>
  </w:style>
  <w:style w:type="paragraph" w:styleId="a4">
    <w:name w:val="header"/>
    <w:basedOn w:val="a"/>
    <w:link w:val="a5"/>
    <w:uiPriority w:val="99"/>
    <w:unhideWhenUsed/>
    <w:rsid w:val="00086C30"/>
    <w:pPr>
      <w:tabs>
        <w:tab w:val="center" w:pos="4153"/>
        <w:tab w:val="right" w:pos="8306"/>
      </w:tabs>
      <w:spacing w:after="0" w:line="240" w:lineRule="auto"/>
    </w:pPr>
  </w:style>
  <w:style w:type="character" w:customStyle="1" w:styleId="a5">
    <w:name w:val="כותרת עליונה תו"/>
    <w:basedOn w:val="a0"/>
    <w:link w:val="a4"/>
    <w:uiPriority w:val="99"/>
    <w:rsid w:val="00086C30"/>
  </w:style>
  <w:style w:type="paragraph" w:styleId="a6">
    <w:name w:val="footer"/>
    <w:basedOn w:val="a"/>
    <w:link w:val="a7"/>
    <w:uiPriority w:val="99"/>
    <w:unhideWhenUsed/>
    <w:rsid w:val="00086C30"/>
    <w:pPr>
      <w:tabs>
        <w:tab w:val="center" w:pos="4153"/>
        <w:tab w:val="right" w:pos="8306"/>
      </w:tabs>
      <w:spacing w:after="0" w:line="240" w:lineRule="auto"/>
    </w:pPr>
  </w:style>
  <w:style w:type="character" w:customStyle="1" w:styleId="a7">
    <w:name w:val="כותרת תחתונה תו"/>
    <w:basedOn w:val="a0"/>
    <w:link w:val="a6"/>
    <w:uiPriority w:val="99"/>
    <w:rsid w:val="00086C30"/>
  </w:style>
  <w:style w:type="paragraph" w:styleId="a8">
    <w:name w:val="Balloon Text"/>
    <w:basedOn w:val="a"/>
    <w:link w:val="a9"/>
    <w:uiPriority w:val="99"/>
    <w:semiHidden/>
    <w:unhideWhenUsed/>
    <w:rsid w:val="00086C30"/>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086C30"/>
    <w:rPr>
      <w:rFonts w:ascii="Tahoma" w:hAnsi="Tahoma" w:cs="Tahoma"/>
      <w:sz w:val="16"/>
      <w:szCs w:val="16"/>
    </w:rPr>
  </w:style>
  <w:style w:type="paragraph" w:styleId="aa">
    <w:name w:val="Title"/>
    <w:basedOn w:val="a"/>
    <w:next w:val="a"/>
    <w:link w:val="ab"/>
    <w:uiPriority w:val="10"/>
    <w:qFormat/>
    <w:rsid w:val="004C2ECE"/>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b">
    <w:name w:val="תואר תו"/>
    <w:basedOn w:val="a0"/>
    <w:link w:val="aa"/>
    <w:uiPriority w:val="10"/>
    <w:rsid w:val="004C2ECE"/>
    <w:rPr>
      <w:rFonts w:ascii="Cambria" w:eastAsia="Times New Roman" w:hAnsi="Cambria" w:cs="Times New Roman"/>
      <w:b/>
      <w:bCs/>
      <w:kern w:val="28"/>
      <w:sz w:val="32"/>
      <w:szCs w:val="32"/>
    </w:rPr>
  </w:style>
  <w:style w:type="character" w:styleId="Hyperlink">
    <w:name w:val="Hyperlink"/>
    <w:basedOn w:val="a0"/>
    <w:uiPriority w:val="99"/>
    <w:unhideWhenUsed/>
    <w:rsid w:val="00222828"/>
    <w:rPr>
      <w:color w:val="0000FF"/>
      <w:u w:val="single"/>
    </w:rPr>
  </w:style>
  <w:style w:type="paragraph" w:styleId="ac">
    <w:name w:val="footnote text"/>
    <w:basedOn w:val="a"/>
    <w:link w:val="ad"/>
    <w:uiPriority w:val="99"/>
    <w:semiHidden/>
    <w:unhideWhenUsed/>
    <w:rsid w:val="00215683"/>
    <w:pPr>
      <w:spacing w:after="0" w:line="240" w:lineRule="auto"/>
    </w:pPr>
    <w:rPr>
      <w:sz w:val="20"/>
      <w:szCs w:val="20"/>
    </w:rPr>
  </w:style>
  <w:style w:type="character" w:customStyle="1" w:styleId="ad">
    <w:name w:val="טקסט הערת שוליים תו"/>
    <w:basedOn w:val="a0"/>
    <w:link w:val="ac"/>
    <w:uiPriority w:val="99"/>
    <w:semiHidden/>
    <w:rsid w:val="00215683"/>
    <w:rPr>
      <w:sz w:val="20"/>
      <w:szCs w:val="20"/>
    </w:rPr>
  </w:style>
  <w:style w:type="character" w:styleId="ae">
    <w:name w:val="footnote reference"/>
    <w:basedOn w:val="a0"/>
    <w:uiPriority w:val="99"/>
    <w:semiHidden/>
    <w:unhideWhenUsed/>
    <w:rsid w:val="00215683"/>
    <w:rPr>
      <w:vertAlign w:val="superscript"/>
    </w:rPr>
  </w:style>
  <w:style w:type="table" w:styleId="af">
    <w:name w:val="Table Grid"/>
    <w:basedOn w:val="a1"/>
    <w:uiPriority w:val="59"/>
    <w:rsid w:val="0092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1E55B-89FC-4029-BA16-06A02B750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1411</Words>
  <Characters>7055</Characters>
  <Application>Microsoft Office Word</Application>
  <DocSecurity>0</DocSecurity>
  <Lines>58</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אלחנן קלמנזון</dc:creator>
  <cp:lastModifiedBy>user</cp:lastModifiedBy>
  <cp:revision>2</cp:revision>
  <cp:lastPrinted>2016-05-25T10:09:00Z</cp:lastPrinted>
  <dcterms:created xsi:type="dcterms:W3CDTF">2016-06-23T13:14:00Z</dcterms:created>
  <dcterms:modified xsi:type="dcterms:W3CDTF">2016-06-23T13:14:00Z</dcterms:modified>
</cp:coreProperties>
</file>